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rPr>
      </w:pPr>
      <w:r>
        <w:rPr>
          <w:rFonts w:hint="eastAsia"/>
          <w:b/>
          <w:bCs/>
          <w:sz w:val="32"/>
        </w:rPr>
        <w:t>医疗器械商品质量保证协议</w:t>
      </w:r>
    </w:p>
    <w:p>
      <w:pPr>
        <w:jc w:val="center"/>
        <w:rPr>
          <w:rFonts w:hint="eastAsia"/>
          <w:b/>
          <w:bCs/>
          <w:sz w:val="32"/>
        </w:rPr>
      </w:pPr>
    </w:p>
    <w:p>
      <w:pPr>
        <w:spacing w:line="288" w:lineRule="auto"/>
        <w:rPr>
          <w:rFonts w:hint="eastAsia"/>
          <w:szCs w:val="21"/>
        </w:rPr>
      </w:pPr>
      <w:r>
        <w:rPr>
          <w:rFonts w:hint="eastAsia"/>
          <w:szCs w:val="21"/>
        </w:rPr>
        <w:t>甲方（供货方）：</w:t>
      </w:r>
      <w:r>
        <w:rPr>
          <w:rFonts w:hint="eastAsia"/>
          <w:szCs w:val="21"/>
          <w:lang w:eastAsia="zh-CN"/>
        </w:rPr>
        <w:t>合肥达米医疗科技有限公司</w:t>
      </w:r>
    </w:p>
    <w:p>
      <w:pPr>
        <w:spacing w:line="288" w:lineRule="auto"/>
        <w:rPr>
          <w:rFonts w:hint="eastAsia"/>
          <w:szCs w:val="21"/>
        </w:rPr>
      </w:pPr>
      <w:r>
        <w:rPr>
          <w:rFonts w:hint="eastAsia"/>
          <w:szCs w:val="21"/>
        </w:rPr>
        <w:t>乙方（购货方）：厦门</w:t>
      </w:r>
      <w:r>
        <w:rPr>
          <w:rFonts w:hint="eastAsia"/>
          <w:szCs w:val="21"/>
          <w:lang w:eastAsia="zh-CN"/>
        </w:rPr>
        <w:t>建发医药</w:t>
      </w:r>
      <w:r>
        <w:rPr>
          <w:rFonts w:hint="eastAsia"/>
          <w:szCs w:val="21"/>
        </w:rPr>
        <w:t>有限公司</w:t>
      </w:r>
    </w:p>
    <w:p>
      <w:pPr>
        <w:spacing w:line="288" w:lineRule="auto"/>
        <w:ind w:firstLine="573"/>
        <w:rPr>
          <w:rFonts w:hint="eastAsia"/>
          <w:szCs w:val="21"/>
        </w:rPr>
      </w:pPr>
      <w:r>
        <w:rPr>
          <w:rFonts w:hint="eastAsia"/>
          <w:szCs w:val="21"/>
        </w:rPr>
        <w:t>为了加强医疗器械商品质量</w:t>
      </w:r>
      <w:bookmarkStart w:id="0" w:name="_GoBack"/>
      <w:bookmarkEnd w:id="0"/>
      <w:r>
        <w:rPr>
          <w:rFonts w:hint="eastAsia"/>
          <w:szCs w:val="21"/>
        </w:rPr>
        <w:t>管理，确保客户使用医疗器械商品的安全、有效，依据</w:t>
      </w:r>
      <w:r>
        <w:rPr>
          <w:rFonts w:hint="eastAsia" w:ascii="宋体" w:hAnsi="宋体"/>
          <w:color w:val="000000"/>
          <w:szCs w:val="21"/>
        </w:rPr>
        <w:t>《医疗器械监督管理条例》（中华人民共和国国务院令第</w:t>
      </w:r>
      <w:r>
        <w:rPr>
          <w:rFonts w:hint="eastAsia" w:ascii="宋体" w:hAnsi="宋体"/>
          <w:color w:val="000000"/>
          <w:szCs w:val="21"/>
          <w:lang w:val="en-US" w:eastAsia="zh-CN"/>
        </w:rPr>
        <w:t>739</w:t>
      </w:r>
      <w:r>
        <w:rPr>
          <w:rFonts w:hint="eastAsia" w:ascii="宋体" w:hAnsi="宋体"/>
          <w:color w:val="000000"/>
          <w:szCs w:val="21"/>
        </w:rPr>
        <w:t>号）、《医疗器械经营监督管理办法》（国家市场监督管理总局令第54号）和《医疗器械经营质量管理规范》（国家食品药</w:t>
      </w:r>
      <w:r>
        <w:rPr>
          <w:rFonts w:hint="eastAsia" w:ascii="宋体" w:hAnsi="宋体"/>
          <w:color w:val="000000"/>
          <w:spacing w:val="-18"/>
          <w:szCs w:val="21"/>
        </w:rPr>
        <w:t>品监督管理总局公告2014年第58号）等法律规定，</w:t>
      </w:r>
      <w:r>
        <w:rPr>
          <w:rFonts w:hint="eastAsia"/>
          <w:szCs w:val="21"/>
        </w:rPr>
        <w:t>经甲乙双方本着平等、互惠、合作的原则，签订如下产品质量保证协议，以供双方在合作过程中共同遵守。</w:t>
      </w:r>
    </w:p>
    <w:p>
      <w:pPr>
        <w:numPr>
          <w:ilvl w:val="0"/>
          <w:numId w:val="1"/>
        </w:numPr>
        <w:tabs>
          <w:tab w:val="left" w:pos="540"/>
        </w:tabs>
        <w:spacing w:line="288" w:lineRule="auto"/>
        <w:ind w:left="540" w:hanging="540"/>
        <w:rPr>
          <w:rFonts w:hint="eastAsia"/>
          <w:szCs w:val="21"/>
        </w:rPr>
      </w:pPr>
      <w:r>
        <w:rPr>
          <w:rFonts w:hint="eastAsia"/>
          <w:szCs w:val="21"/>
        </w:rPr>
        <w:t>甲、乙双方必须具有合法的医疗器械产品生产或经营资格，向对方提供有关证照复印件（包括工商营业执照、医疗器械生产或经营许可证）并加盖本单位原印章，且不得超过国家规定的生产经营范围和方式经营医疗器械产品。</w:t>
      </w:r>
    </w:p>
    <w:p>
      <w:pPr>
        <w:numPr>
          <w:ilvl w:val="0"/>
          <w:numId w:val="1"/>
        </w:numPr>
        <w:tabs>
          <w:tab w:val="left" w:pos="540"/>
        </w:tabs>
        <w:spacing w:line="288" w:lineRule="auto"/>
        <w:ind w:left="540" w:hanging="540"/>
        <w:rPr>
          <w:rFonts w:hint="eastAsia"/>
          <w:szCs w:val="21"/>
        </w:rPr>
      </w:pPr>
      <w:r>
        <w:rPr>
          <w:rFonts w:hint="eastAsia"/>
          <w:szCs w:val="21"/>
        </w:rPr>
        <w:t>甲方保证向乙方提供合法及质量符合国家或行业医疗器械质量标准的医疗器械，器械的包装、标识、标签、说明书、批准文号、灭菌批号等应符合国家和行业的有关规定，并提供有关文件以备案，相关文件应加盖甲方原印章。</w:t>
      </w:r>
    </w:p>
    <w:p>
      <w:pPr>
        <w:numPr>
          <w:ilvl w:val="0"/>
          <w:numId w:val="1"/>
        </w:numPr>
        <w:tabs>
          <w:tab w:val="left" w:pos="540"/>
        </w:tabs>
        <w:spacing w:line="288" w:lineRule="auto"/>
        <w:ind w:left="540" w:hanging="540"/>
        <w:rPr>
          <w:rFonts w:hint="eastAsia"/>
          <w:szCs w:val="21"/>
        </w:rPr>
      </w:pPr>
      <w:r>
        <w:rPr>
          <w:rFonts w:hint="eastAsia"/>
          <w:szCs w:val="21"/>
        </w:rPr>
        <w:t>甲方所提供乙方的进口医疗器械产品，必须提供符合相关规定的检验报告书或通关单，并加盖甲方原章，进口医疗器械必须有中文标识及中文说明书。乙方在未收到甲方提供的检验报告有效复印件以前，不得对外销售该器械产品。</w:t>
      </w:r>
    </w:p>
    <w:p>
      <w:pPr>
        <w:numPr>
          <w:ilvl w:val="0"/>
          <w:numId w:val="1"/>
        </w:numPr>
        <w:tabs>
          <w:tab w:val="left" w:pos="540"/>
        </w:tabs>
        <w:spacing w:line="288" w:lineRule="auto"/>
        <w:ind w:left="540" w:hanging="540"/>
        <w:rPr>
          <w:rFonts w:hint="eastAsia"/>
          <w:szCs w:val="21"/>
        </w:rPr>
      </w:pPr>
      <w:r>
        <w:rPr>
          <w:rFonts w:hint="eastAsia"/>
          <w:szCs w:val="21"/>
        </w:rPr>
        <w:t>甲方严格按照运输管理要求包装和发运医疗器械产品，如出现损耗和短少，双方协商解决。对冷藏、冷冻的产品甲方需提供相应的冷链运输过程温度记录。</w:t>
      </w:r>
    </w:p>
    <w:p>
      <w:pPr>
        <w:numPr>
          <w:ilvl w:val="0"/>
          <w:numId w:val="1"/>
        </w:numPr>
        <w:tabs>
          <w:tab w:val="left" w:pos="540"/>
        </w:tabs>
        <w:spacing w:line="288" w:lineRule="auto"/>
        <w:ind w:left="540" w:hanging="540"/>
        <w:rPr>
          <w:rFonts w:hint="eastAsia"/>
          <w:szCs w:val="21"/>
        </w:rPr>
      </w:pPr>
      <w:r>
        <w:rPr>
          <w:rFonts w:hint="eastAsia"/>
          <w:szCs w:val="21"/>
        </w:rPr>
        <w:t>甲方所提供给乙方的医疗器械产品，乙方在入库质量验收时，发现外包装不符合要求，质量异常、无产品合格证明、包装损坏、应有的标志模糊的产品应及时通知甲方并有权拒收问题产品，甲方应及时处理并承当相关费用</w:t>
      </w:r>
    </w:p>
    <w:p>
      <w:pPr>
        <w:numPr>
          <w:ilvl w:val="0"/>
          <w:numId w:val="1"/>
        </w:numPr>
        <w:tabs>
          <w:tab w:val="left" w:pos="540"/>
        </w:tabs>
        <w:spacing w:line="288" w:lineRule="auto"/>
        <w:ind w:left="540" w:hanging="540"/>
        <w:rPr>
          <w:rFonts w:hint="eastAsia"/>
          <w:szCs w:val="21"/>
        </w:rPr>
      </w:pPr>
      <w:r>
        <w:rPr>
          <w:rFonts w:hint="eastAsia"/>
          <w:szCs w:val="21"/>
        </w:rPr>
        <w:t>乙方正常购进的医疗器械如非乙方原因产生的质量问题，甲方应予以退换货处理，并承担相关费用。</w:t>
      </w:r>
    </w:p>
    <w:p>
      <w:pPr>
        <w:numPr>
          <w:ilvl w:val="0"/>
          <w:numId w:val="1"/>
        </w:numPr>
        <w:tabs>
          <w:tab w:val="left" w:pos="540"/>
        </w:tabs>
        <w:spacing w:line="288" w:lineRule="auto"/>
        <w:ind w:left="540" w:hanging="540"/>
        <w:rPr>
          <w:rFonts w:hint="eastAsia"/>
          <w:szCs w:val="21"/>
        </w:rPr>
      </w:pPr>
      <w:r>
        <w:rPr>
          <w:rFonts w:hint="eastAsia"/>
          <w:szCs w:val="21"/>
        </w:rPr>
        <w:t>甲方提供的有效期产品，效期在1年以上的，距失效期不得低于1年；效期在1年以下的，若距失效期2个月时可以退货；无效期规定的产品，距生产日期不得超过10个月。</w:t>
      </w:r>
    </w:p>
    <w:p>
      <w:pPr>
        <w:numPr>
          <w:ilvl w:val="0"/>
          <w:numId w:val="1"/>
        </w:numPr>
        <w:tabs>
          <w:tab w:val="left" w:pos="540"/>
        </w:tabs>
        <w:spacing w:line="288" w:lineRule="auto"/>
        <w:ind w:left="540" w:hanging="540"/>
        <w:rPr>
          <w:rFonts w:hint="eastAsia"/>
          <w:szCs w:val="21"/>
        </w:rPr>
      </w:pPr>
      <w:r>
        <w:rPr>
          <w:rFonts w:hint="eastAsia"/>
          <w:szCs w:val="21"/>
        </w:rPr>
        <w:t>甲方不得向乙方提供过期、失效或国家明令禁止销售的医疗器械产品。</w:t>
      </w:r>
    </w:p>
    <w:p>
      <w:pPr>
        <w:numPr>
          <w:ilvl w:val="0"/>
          <w:numId w:val="1"/>
        </w:numPr>
        <w:tabs>
          <w:tab w:val="left" w:pos="540"/>
        </w:tabs>
        <w:spacing w:line="288" w:lineRule="auto"/>
        <w:ind w:left="540" w:hanging="540"/>
        <w:rPr>
          <w:rFonts w:hint="eastAsia"/>
          <w:szCs w:val="21"/>
        </w:rPr>
      </w:pPr>
      <w:r>
        <w:rPr>
          <w:rFonts w:hint="eastAsia"/>
          <w:szCs w:val="21"/>
        </w:rPr>
        <w:t>任何未尽事宜，由双方在有利于医疗器械质量管理的前提下协商办理。在无法协商的情况下，应在</w:t>
      </w:r>
      <w:r>
        <w:rPr>
          <w:rFonts w:hint="eastAsia"/>
          <w:szCs w:val="21"/>
          <w:lang w:eastAsia="zh-CN"/>
        </w:rPr>
        <w:t>厦门仲裁委员会仲裁裁决</w:t>
      </w:r>
      <w:r>
        <w:rPr>
          <w:rFonts w:hint="eastAsia"/>
          <w:szCs w:val="21"/>
        </w:rPr>
        <w:t>。</w:t>
      </w:r>
    </w:p>
    <w:p>
      <w:pPr>
        <w:numPr>
          <w:ilvl w:val="0"/>
          <w:numId w:val="1"/>
        </w:numPr>
        <w:tabs>
          <w:tab w:val="left" w:pos="540"/>
        </w:tabs>
        <w:spacing w:line="288" w:lineRule="auto"/>
        <w:ind w:left="540" w:hanging="540"/>
        <w:rPr>
          <w:rFonts w:hint="eastAsia"/>
          <w:szCs w:val="21"/>
        </w:rPr>
      </w:pPr>
      <w:r>
        <w:rPr>
          <w:rFonts w:hint="eastAsia"/>
          <w:szCs w:val="21"/>
        </w:rPr>
        <w:t>涉及售后维修服务的产品，甲方按供销合同的约定提供售后服务，如合同无约定则甲方承诺产品自验收合格一年内免费保修，超过保修期由供方或供方指定维修点负责终身维修并长期提供相关零配件等给乙方或乙方的客户。</w:t>
      </w:r>
    </w:p>
    <w:p>
      <w:pPr>
        <w:tabs>
          <w:tab w:val="left" w:pos="540"/>
        </w:tabs>
        <w:spacing w:line="288" w:lineRule="auto"/>
        <w:rPr>
          <w:rFonts w:hint="eastAsia"/>
          <w:szCs w:val="21"/>
        </w:rPr>
      </w:pPr>
      <w:r>
        <w:rPr>
          <w:rFonts w:hint="eastAsia"/>
          <w:szCs w:val="21"/>
        </w:rPr>
        <w:t>十一、本协议经甲乙双方单位盖章和双方代表人签字后生效。</w:t>
      </w:r>
    </w:p>
    <w:p>
      <w:pPr>
        <w:tabs>
          <w:tab w:val="left" w:pos="540"/>
        </w:tabs>
        <w:spacing w:line="288" w:lineRule="auto"/>
        <w:rPr>
          <w:rFonts w:hint="eastAsia"/>
          <w:szCs w:val="21"/>
        </w:rPr>
      </w:pPr>
      <w:r>
        <w:rPr>
          <w:rFonts w:hint="eastAsia"/>
          <w:szCs w:val="21"/>
        </w:rPr>
        <w:t>十二、本协议与双方的销售合同同时生效，本协议一式二份，甲乙双方各持一份。</w:t>
      </w:r>
      <w:r>
        <w:rPr>
          <w:rFonts w:hint="eastAsia"/>
          <w:szCs w:val="21"/>
          <w:lang w:val="en-US" w:eastAsia="zh-CN"/>
        </w:rPr>
        <w:t>有效期从</w:t>
      </w:r>
      <w:r>
        <w:rPr>
          <w:rFonts w:hint="eastAsia"/>
          <w:szCs w:val="21"/>
          <w:u w:val="single"/>
          <w:lang w:val="en-US" w:eastAsia="zh-CN"/>
        </w:rPr>
        <w:t xml:space="preserve"> 2023 </w:t>
      </w:r>
      <w:r>
        <w:rPr>
          <w:rFonts w:hint="eastAsia"/>
          <w:szCs w:val="21"/>
          <w:lang w:val="en-US" w:eastAsia="zh-CN"/>
        </w:rPr>
        <w:t>年</w:t>
      </w:r>
      <w:r>
        <w:rPr>
          <w:rFonts w:hint="eastAsia"/>
          <w:szCs w:val="21"/>
          <w:u w:val="single"/>
          <w:lang w:val="en-US" w:eastAsia="zh-CN"/>
        </w:rPr>
        <w:t xml:space="preserve"> 01</w:t>
      </w:r>
      <w:r>
        <w:rPr>
          <w:rFonts w:hint="eastAsia"/>
          <w:szCs w:val="21"/>
          <w:lang w:val="en-US" w:eastAsia="zh-CN"/>
        </w:rPr>
        <w:t>月</w:t>
      </w:r>
      <w:r>
        <w:rPr>
          <w:rFonts w:hint="eastAsia"/>
          <w:szCs w:val="21"/>
          <w:u w:val="single"/>
          <w:lang w:val="en-US" w:eastAsia="zh-CN"/>
        </w:rPr>
        <w:t xml:space="preserve">     01</w:t>
      </w:r>
      <w:r>
        <w:rPr>
          <w:rFonts w:hint="eastAsia"/>
          <w:szCs w:val="21"/>
          <w:lang w:val="en-US" w:eastAsia="zh-CN"/>
        </w:rPr>
        <w:t>日起至</w:t>
      </w:r>
      <w:r>
        <w:rPr>
          <w:rFonts w:hint="eastAsia"/>
          <w:szCs w:val="21"/>
          <w:u w:val="single"/>
          <w:lang w:val="en-US" w:eastAsia="zh-CN"/>
        </w:rPr>
        <w:t xml:space="preserve"> 2024 </w:t>
      </w:r>
      <w:r>
        <w:rPr>
          <w:rFonts w:hint="eastAsia"/>
          <w:szCs w:val="21"/>
          <w:lang w:val="en-US" w:eastAsia="zh-CN"/>
        </w:rPr>
        <w:t>年</w:t>
      </w:r>
      <w:r>
        <w:rPr>
          <w:rFonts w:hint="eastAsia"/>
          <w:szCs w:val="21"/>
          <w:u w:val="single"/>
          <w:lang w:val="en-US" w:eastAsia="zh-CN"/>
        </w:rPr>
        <w:t xml:space="preserve">  12  </w:t>
      </w:r>
      <w:r>
        <w:rPr>
          <w:rFonts w:hint="eastAsia"/>
          <w:szCs w:val="21"/>
          <w:lang w:val="en-US" w:eastAsia="zh-CN"/>
        </w:rPr>
        <w:t>月</w:t>
      </w:r>
      <w:r>
        <w:rPr>
          <w:rFonts w:hint="eastAsia"/>
          <w:szCs w:val="21"/>
          <w:u w:val="single"/>
          <w:lang w:val="en-US" w:eastAsia="zh-CN"/>
        </w:rPr>
        <w:t xml:space="preserve">  31  </w:t>
      </w:r>
      <w:r>
        <w:rPr>
          <w:rFonts w:hint="eastAsia"/>
          <w:szCs w:val="21"/>
          <w:lang w:val="en-US" w:eastAsia="zh-CN"/>
        </w:rPr>
        <w:t>日止</w:t>
      </w:r>
      <w:r>
        <w:rPr>
          <w:rFonts w:hint="eastAsia"/>
          <w:szCs w:val="21"/>
        </w:rPr>
        <w:t>。</w:t>
      </w:r>
    </w:p>
    <w:p>
      <w:pPr>
        <w:spacing w:line="288" w:lineRule="auto"/>
        <w:rPr>
          <w:rFonts w:hint="eastAsia" w:eastAsia="宋体"/>
          <w:szCs w:val="21"/>
          <w:lang w:eastAsia="zh-CN"/>
        </w:rPr>
      </w:pPr>
      <w:r>
        <w:rPr>
          <w:rFonts w:hint="eastAsia"/>
          <w:szCs w:val="21"/>
        </w:rPr>
        <w:t xml:space="preserve">甲方单位（盖章）：                        </w:t>
      </w:r>
      <w:r>
        <w:rPr>
          <w:rFonts w:hint="eastAsia"/>
          <w:szCs w:val="21"/>
          <w:lang w:val="en-US" w:eastAsia="zh-CN"/>
        </w:rPr>
        <w:t xml:space="preserve">    </w:t>
      </w:r>
      <w:r>
        <w:rPr>
          <w:rFonts w:hint="eastAsia"/>
          <w:szCs w:val="21"/>
        </w:rPr>
        <w:t>乙方单位（盖章）：</w:t>
      </w:r>
      <w:r>
        <w:rPr>
          <w:rFonts w:hint="eastAsia"/>
          <w:szCs w:val="21"/>
          <w:lang w:eastAsia="zh-CN"/>
        </w:rPr>
        <w:t>厦门建发医药有限公司</w:t>
      </w:r>
    </w:p>
    <w:p>
      <w:pPr>
        <w:spacing w:line="288" w:lineRule="auto"/>
        <w:rPr>
          <w:rFonts w:hint="eastAsia"/>
          <w:szCs w:val="21"/>
        </w:rPr>
      </w:pPr>
      <w:r>
        <w:rPr>
          <w:rFonts w:hint="eastAsia"/>
          <w:szCs w:val="21"/>
        </w:rPr>
        <w:t xml:space="preserve">代表人签字：                              </w:t>
      </w:r>
      <w:r>
        <w:rPr>
          <w:rFonts w:hint="eastAsia"/>
          <w:szCs w:val="21"/>
          <w:lang w:val="en-US" w:eastAsia="zh-CN"/>
        </w:rPr>
        <w:t xml:space="preserve">    </w:t>
      </w:r>
      <w:r>
        <w:rPr>
          <w:rFonts w:hint="eastAsia"/>
          <w:szCs w:val="21"/>
        </w:rPr>
        <w:t>代表人签字：</w:t>
      </w:r>
    </w:p>
    <w:p>
      <w:pPr>
        <w:spacing w:line="288" w:lineRule="auto"/>
        <w:ind w:firstLine="420" w:firstLineChars="200"/>
        <w:rPr>
          <w:rFonts w:hint="eastAsia"/>
          <w:szCs w:val="21"/>
        </w:rPr>
      </w:pPr>
      <w:r>
        <w:rPr>
          <w:rFonts w:hint="eastAsia"/>
          <w:szCs w:val="21"/>
        </w:rPr>
        <w:t xml:space="preserve"> 年   月   日                              </w:t>
      </w:r>
      <w:r>
        <w:rPr>
          <w:rFonts w:hint="eastAsia"/>
          <w:szCs w:val="21"/>
          <w:lang w:val="en-US" w:eastAsia="zh-CN"/>
        </w:rPr>
        <w:t xml:space="preserve">    </w:t>
      </w:r>
      <w:r>
        <w:rPr>
          <w:rFonts w:hint="eastAsia"/>
          <w:szCs w:val="21"/>
        </w:rPr>
        <w:t>年   月   日</w:t>
      </w:r>
    </w:p>
    <w:p>
      <w:pPr>
        <w:rPr>
          <w:rFonts w:hint="eastAsia"/>
          <w:bCs/>
        </w:rPr>
      </w:pPr>
    </w:p>
    <w:p>
      <w:pPr>
        <w:rPr>
          <w:rFonts w:hint="eastAsia"/>
          <w:bCs/>
        </w:rPr>
      </w:pPr>
    </w:p>
    <w:sectPr>
      <w:headerReference r:id="rId3" w:type="default"/>
      <w:pgSz w:w="11906" w:h="16838"/>
      <w:pgMar w:top="709" w:right="746" w:bottom="62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B4706"/>
    <w:multiLevelType w:val="multilevel"/>
    <w:tmpl w:val="5F1B4706"/>
    <w:lvl w:ilvl="0" w:tentative="0">
      <w:start w:val="1"/>
      <w:numFmt w:val="japaneseCounting"/>
      <w:lvlText w:val="%1、"/>
      <w:lvlJc w:val="left"/>
      <w:pPr>
        <w:tabs>
          <w:tab w:val="left" w:pos="1665"/>
        </w:tabs>
        <w:ind w:left="1665" w:hanging="1095"/>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hiODdkNzU3YWJmYzhhMGZmNjA4NzA5MGFiZGQifQ=="/>
  </w:docVars>
  <w:rsids>
    <w:rsidRoot w:val="00172A27"/>
    <w:rsid w:val="0000070B"/>
    <w:rsid w:val="00002E2C"/>
    <w:rsid w:val="00017800"/>
    <w:rsid w:val="000514C1"/>
    <w:rsid w:val="000538D2"/>
    <w:rsid w:val="00063B73"/>
    <w:rsid w:val="000C2B1A"/>
    <w:rsid w:val="00100967"/>
    <w:rsid w:val="001026D6"/>
    <w:rsid w:val="00110C3B"/>
    <w:rsid w:val="0019123E"/>
    <w:rsid w:val="0019616D"/>
    <w:rsid w:val="001A4A2A"/>
    <w:rsid w:val="001B071A"/>
    <w:rsid w:val="001B70C7"/>
    <w:rsid w:val="001C1CCB"/>
    <w:rsid w:val="001C2131"/>
    <w:rsid w:val="001C3BC0"/>
    <w:rsid w:val="001C694B"/>
    <w:rsid w:val="001E2DE0"/>
    <w:rsid w:val="001E6BD4"/>
    <w:rsid w:val="00206E45"/>
    <w:rsid w:val="00212695"/>
    <w:rsid w:val="00216E67"/>
    <w:rsid w:val="002259B9"/>
    <w:rsid w:val="00232F41"/>
    <w:rsid w:val="0023429B"/>
    <w:rsid w:val="00237370"/>
    <w:rsid w:val="00242AD5"/>
    <w:rsid w:val="00270AA8"/>
    <w:rsid w:val="002977BB"/>
    <w:rsid w:val="002A0EC6"/>
    <w:rsid w:val="002F7D46"/>
    <w:rsid w:val="003573C2"/>
    <w:rsid w:val="0036368D"/>
    <w:rsid w:val="0037284C"/>
    <w:rsid w:val="003735A3"/>
    <w:rsid w:val="00374990"/>
    <w:rsid w:val="003845DA"/>
    <w:rsid w:val="00395163"/>
    <w:rsid w:val="003A5D5A"/>
    <w:rsid w:val="003B3EAA"/>
    <w:rsid w:val="003C0379"/>
    <w:rsid w:val="003E2F8D"/>
    <w:rsid w:val="003F0961"/>
    <w:rsid w:val="003F5C2B"/>
    <w:rsid w:val="00406C1B"/>
    <w:rsid w:val="00423037"/>
    <w:rsid w:val="004322AC"/>
    <w:rsid w:val="004410EE"/>
    <w:rsid w:val="0045572D"/>
    <w:rsid w:val="00472E44"/>
    <w:rsid w:val="00474339"/>
    <w:rsid w:val="00481EFC"/>
    <w:rsid w:val="004B2B28"/>
    <w:rsid w:val="004C373A"/>
    <w:rsid w:val="004D15FE"/>
    <w:rsid w:val="004D2133"/>
    <w:rsid w:val="004D386E"/>
    <w:rsid w:val="004D44C7"/>
    <w:rsid w:val="004D53AB"/>
    <w:rsid w:val="004E2B00"/>
    <w:rsid w:val="004F47F5"/>
    <w:rsid w:val="00501308"/>
    <w:rsid w:val="0050254E"/>
    <w:rsid w:val="00503A86"/>
    <w:rsid w:val="00515E68"/>
    <w:rsid w:val="00527A02"/>
    <w:rsid w:val="00527DC6"/>
    <w:rsid w:val="005357B8"/>
    <w:rsid w:val="005A48F4"/>
    <w:rsid w:val="005C70BD"/>
    <w:rsid w:val="005E596B"/>
    <w:rsid w:val="006004A8"/>
    <w:rsid w:val="006171F6"/>
    <w:rsid w:val="006210B5"/>
    <w:rsid w:val="00637FD0"/>
    <w:rsid w:val="006467D6"/>
    <w:rsid w:val="0067663E"/>
    <w:rsid w:val="006B2C0D"/>
    <w:rsid w:val="006C1078"/>
    <w:rsid w:val="006F19CA"/>
    <w:rsid w:val="006F2CE9"/>
    <w:rsid w:val="006F65C7"/>
    <w:rsid w:val="007032E0"/>
    <w:rsid w:val="007067A1"/>
    <w:rsid w:val="0074708F"/>
    <w:rsid w:val="00764085"/>
    <w:rsid w:val="0079047C"/>
    <w:rsid w:val="007B16C5"/>
    <w:rsid w:val="007C2628"/>
    <w:rsid w:val="007D11AB"/>
    <w:rsid w:val="007E0E4C"/>
    <w:rsid w:val="007F0666"/>
    <w:rsid w:val="008072D5"/>
    <w:rsid w:val="008173C4"/>
    <w:rsid w:val="00827E0C"/>
    <w:rsid w:val="00830AF4"/>
    <w:rsid w:val="00840274"/>
    <w:rsid w:val="00870B74"/>
    <w:rsid w:val="00881F35"/>
    <w:rsid w:val="008877CE"/>
    <w:rsid w:val="008A04EB"/>
    <w:rsid w:val="008E7011"/>
    <w:rsid w:val="008F0A86"/>
    <w:rsid w:val="0091357D"/>
    <w:rsid w:val="00914A42"/>
    <w:rsid w:val="00933187"/>
    <w:rsid w:val="00933C3D"/>
    <w:rsid w:val="009531EE"/>
    <w:rsid w:val="00953486"/>
    <w:rsid w:val="0099273D"/>
    <w:rsid w:val="00994DE0"/>
    <w:rsid w:val="009976D9"/>
    <w:rsid w:val="009A37E0"/>
    <w:rsid w:val="009D3775"/>
    <w:rsid w:val="009E229C"/>
    <w:rsid w:val="009E7C46"/>
    <w:rsid w:val="009F70F7"/>
    <w:rsid w:val="00A14260"/>
    <w:rsid w:val="00A34693"/>
    <w:rsid w:val="00A437A9"/>
    <w:rsid w:val="00A56575"/>
    <w:rsid w:val="00A86371"/>
    <w:rsid w:val="00AA2571"/>
    <w:rsid w:val="00AE1997"/>
    <w:rsid w:val="00AF1A9E"/>
    <w:rsid w:val="00AF3535"/>
    <w:rsid w:val="00B209A4"/>
    <w:rsid w:val="00B24E6A"/>
    <w:rsid w:val="00B350D2"/>
    <w:rsid w:val="00B54D82"/>
    <w:rsid w:val="00B56438"/>
    <w:rsid w:val="00B60870"/>
    <w:rsid w:val="00B768BC"/>
    <w:rsid w:val="00BA4BBE"/>
    <w:rsid w:val="00BC5C75"/>
    <w:rsid w:val="00BD2E76"/>
    <w:rsid w:val="00BE2B41"/>
    <w:rsid w:val="00BF11E2"/>
    <w:rsid w:val="00C15BD5"/>
    <w:rsid w:val="00C22AA5"/>
    <w:rsid w:val="00C23E51"/>
    <w:rsid w:val="00C27E86"/>
    <w:rsid w:val="00C31BDC"/>
    <w:rsid w:val="00C35A1E"/>
    <w:rsid w:val="00C421B1"/>
    <w:rsid w:val="00C45AED"/>
    <w:rsid w:val="00C854A9"/>
    <w:rsid w:val="00CB64C7"/>
    <w:rsid w:val="00CC1733"/>
    <w:rsid w:val="00CC4131"/>
    <w:rsid w:val="00CE665B"/>
    <w:rsid w:val="00CE7023"/>
    <w:rsid w:val="00CF23B7"/>
    <w:rsid w:val="00CF2EFF"/>
    <w:rsid w:val="00CF3E64"/>
    <w:rsid w:val="00D10C10"/>
    <w:rsid w:val="00D17E37"/>
    <w:rsid w:val="00D22C22"/>
    <w:rsid w:val="00D57BE8"/>
    <w:rsid w:val="00D90669"/>
    <w:rsid w:val="00DC4804"/>
    <w:rsid w:val="00DE7C0F"/>
    <w:rsid w:val="00DF39AD"/>
    <w:rsid w:val="00E06099"/>
    <w:rsid w:val="00E10796"/>
    <w:rsid w:val="00E25D99"/>
    <w:rsid w:val="00E4172F"/>
    <w:rsid w:val="00E47184"/>
    <w:rsid w:val="00E51F4C"/>
    <w:rsid w:val="00E527E5"/>
    <w:rsid w:val="00E826DD"/>
    <w:rsid w:val="00EA6BDC"/>
    <w:rsid w:val="00EC32E3"/>
    <w:rsid w:val="00ED13D8"/>
    <w:rsid w:val="00ED6741"/>
    <w:rsid w:val="00EE0E1F"/>
    <w:rsid w:val="00EE5F0C"/>
    <w:rsid w:val="00EE732E"/>
    <w:rsid w:val="00EF136C"/>
    <w:rsid w:val="00EF387A"/>
    <w:rsid w:val="00F042D7"/>
    <w:rsid w:val="00F04E8E"/>
    <w:rsid w:val="00F1527F"/>
    <w:rsid w:val="00F24A06"/>
    <w:rsid w:val="00F42883"/>
    <w:rsid w:val="00F42B95"/>
    <w:rsid w:val="00F463ED"/>
    <w:rsid w:val="00F60D1B"/>
    <w:rsid w:val="00F62E69"/>
    <w:rsid w:val="00F7227F"/>
    <w:rsid w:val="00F92859"/>
    <w:rsid w:val="00F93C46"/>
    <w:rsid w:val="00FC48EE"/>
    <w:rsid w:val="00FD3DFA"/>
    <w:rsid w:val="00FE4304"/>
    <w:rsid w:val="00FE5236"/>
    <w:rsid w:val="00FE540D"/>
    <w:rsid w:val="00FF2A7A"/>
    <w:rsid w:val="06AB5183"/>
    <w:rsid w:val="0A0A1083"/>
    <w:rsid w:val="0A913872"/>
    <w:rsid w:val="101946B9"/>
    <w:rsid w:val="121405C3"/>
    <w:rsid w:val="143C0587"/>
    <w:rsid w:val="14640065"/>
    <w:rsid w:val="15BB7C08"/>
    <w:rsid w:val="17D97D4B"/>
    <w:rsid w:val="18493A58"/>
    <w:rsid w:val="1F246C76"/>
    <w:rsid w:val="2554525D"/>
    <w:rsid w:val="34961252"/>
    <w:rsid w:val="36844810"/>
    <w:rsid w:val="392C38C5"/>
    <w:rsid w:val="3FB06A0C"/>
    <w:rsid w:val="402A0D88"/>
    <w:rsid w:val="428D6207"/>
    <w:rsid w:val="461D00FF"/>
    <w:rsid w:val="46660C1E"/>
    <w:rsid w:val="490D2859"/>
    <w:rsid w:val="4AEA2887"/>
    <w:rsid w:val="4B9B3BCB"/>
    <w:rsid w:val="4F316AFD"/>
    <w:rsid w:val="539E4E7D"/>
    <w:rsid w:val="542D65AC"/>
    <w:rsid w:val="54636110"/>
    <w:rsid w:val="56E90AA3"/>
    <w:rsid w:val="5CCE0034"/>
    <w:rsid w:val="604530F7"/>
    <w:rsid w:val="65C65858"/>
    <w:rsid w:val="66D13C50"/>
    <w:rsid w:val="684E502D"/>
    <w:rsid w:val="687723D1"/>
    <w:rsid w:val="6D2D4F04"/>
    <w:rsid w:val="73095E8D"/>
    <w:rsid w:val="75FD2809"/>
    <w:rsid w:val="7E4143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39"/>
    <w:qFormat/>
    <w:uiPriority w:val="0"/>
    <w:pPr>
      <w:tabs>
        <w:tab w:val="center" w:pos="4153"/>
        <w:tab w:val="right" w:pos="8306"/>
      </w:tabs>
      <w:snapToGrid w:val="0"/>
      <w:jc w:val="left"/>
    </w:pPr>
    <w:rPr>
      <w:sz w:val="18"/>
      <w:szCs w:val="18"/>
    </w:rPr>
  </w:style>
  <w:style w:type="paragraph" w:styleId="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paragraph" w:customStyle="1" w:styleId="7">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9">
    <w:name w:val="xl24"/>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0"/>
      <w:szCs w:val="20"/>
    </w:rPr>
  </w:style>
  <w:style w:type="paragraph" w:customStyle="1" w:styleId="1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1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
    <w:name w:val="xl27"/>
    <w:basedOn w:val="1"/>
    <w:qFormat/>
    <w:uiPriority w:val="0"/>
    <w:pPr>
      <w:widowControl/>
      <w:spacing w:before="100" w:beforeAutospacing="1" w:after="100" w:afterAutospacing="1"/>
      <w:jc w:val="center"/>
    </w:pPr>
    <w:rPr>
      <w:rFonts w:ascii="宋体" w:hAnsi="宋体"/>
      <w:kern w:val="0"/>
      <w:sz w:val="20"/>
      <w:szCs w:val="20"/>
    </w:rPr>
  </w:style>
  <w:style w:type="paragraph" w:customStyle="1" w:styleId="2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4">
    <w:name w:val="font6"/>
    <w:basedOn w:val="1"/>
    <w:qFormat/>
    <w:uiPriority w:val="0"/>
    <w:pPr>
      <w:widowControl/>
      <w:spacing w:before="100" w:beforeAutospacing="1" w:after="100" w:afterAutospacing="1"/>
      <w:jc w:val="left"/>
    </w:pPr>
    <w:rPr>
      <w:rFonts w:hint="eastAsia" w:ascii="宋体" w:hAnsi="宋体"/>
      <w:b/>
      <w:bCs/>
      <w:kern w:val="0"/>
      <w:sz w:val="18"/>
      <w:szCs w:val="18"/>
    </w:rPr>
  </w:style>
  <w:style w:type="paragraph" w:customStyle="1" w:styleId="2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7">
    <w:name w:val="xl25"/>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8"/>
      <w:szCs w:val="28"/>
    </w:rPr>
  </w:style>
  <w:style w:type="paragraph" w:customStyle="1" w:styleId="2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3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7">
    <w:name w:val="xl5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character" w:customStyle="1" w:styleId="39">
    <w:name w:val="页脚 Char"/>
    <w:basedOn w:val="4"/>
    <w:link w:val="2"/>
    <w:qFormat/>
    <w:uiPriority w:val="0"/>
    <w:rPr>
      <w:kern w:val="2"/>
      <w:sz w:val="18"/>
      <w:szCs w:val="18"/>
    </w:rPr>
  </w:style>
  <w:style w:type="character" w:customStyle="1" w:styleId="40">
    <w:name w:val="页眉 Char"/>
    <w:basedOn w:val="4"/>
    <w:link w:val="3"/>
    <w:qFormat/>
    <w:uiPriority w:val="0"/>
    <w:rPr>
      <w:kern w:val="2"/>
      <w:sz w:val="18"/>
      <w:szCs w:val="18"/>
    </w:rPr>
  </w:style>
  <w:style w:type="character" w:customStyle="1" w:styleId="41">
    <w:name w:val="font01"/>
    <w:basedOn w:val="4"/>
    <w:qFormat/>
    <w:uiPriority w:val="0"/>
    <w:rPr>
      <w:rFonts w:hint="eastAsia" w:ascii="宋体" w:hAnsi="宋体" w:eastAsia="宋体" w:cs="宋体"/>
      <w:color w:val="000000"/>
      <w:sz w:val="20"/>
      <w:szCs w:val="20"/>
      <w:u w:val="single"/>
    </w:rPr>
  </w:style>
  <w:style w:type="character" w:customStyle="1" w:styleId="42">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1121</Words>
  <Characters>1138</Characters>
  <Lines>35</Lines>
  <Paragraphs>9</Paragraphs>
  <TotalTime>0</TotalTime>
  <ScaleCrop>false</ScaleCrop>
  <LinksUpToDate>false</LinksUpToDate>
  <CharactersWithSpaces>1265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2009-08-19T03:35:00Z</dcterms:created>
  <dc:creator>Administrator</dc:creator>
  <cp:lastModifiedBy>许婉婷</cp:lastModifiedBy>
  <cp:lastPrinted>2016-11-21T00:19:00Z</cp:lastPrinted>
  <dcterms:modified xsi:type="dcterms:W3CDTF">2023-03-14T03:13:09Z</dcterms:modified>
  <dc:title>由于我司地址变更相应开票资料变更如下：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09A33E2819254ED79384A51D4EE3188E</vt:lpwstr>
  </property>
</Properties>
</file>