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真菌荧光染色液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</w:t>
      </w:r>
      <w:r>
        <w:rPr>
          <w:rFonts w:hint="eastAsia" w:ascii="宋体" w:hAnsi="宋体" w:cs="宋体"/>
          <w:lang w:val="en-US" w:eastAsia="zh-CN"/>
        </w:rPr>
        <w:t>日期</w:t>
      </w:r>
      <w:bookmarkStart w:id="3" w:name="_GoBack"/>
      <w:bookmarkEnd w:id="3"/>
      <w:r>
        <w:rPr>
          <w:rFonts w:hint="eastAsia" w:ascii="宋体" w:hAnsi="宋体" w:eastAsia="宋体" w:cs="宋体"/>
        </w:rPr>
        <w:t>：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真菌荧光染色液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u w:val="single"/>
          <w:lang w:val="en-US" w:eastAsia="zh-CN"/>
        </w:rPr>
        <w:t>真菌荧光染色液</w:t>
      </w: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3021"/>
        <w:gridCol w:w="1200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产品名称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真菌荧光染色液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  <w:b/>
                <w:bCs w:val="0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供应商需免费提供以下配套软硬件：①荧光显微镜（具有医疗器械注册证或备案证），至少包含显微镜、摄像头、荧光模块；②图文报告软件。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性能验证要求：供应商需免费安排工程师到院完成性能验证，并免费提供所需主试剂、校准品、质控品、耗材等。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DD0C1457"/>
    <w:multiLevelType w:val="singleLevel"/>
    <w:tmpl w:val="DD0C145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2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287383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8876DF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6451E3"/>
    <w:rsid w:val="2F994123"/>
    <w:rsid w:val="2FAE60B0"/>
    <w:rsid w:val="2FE770B4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5A71BE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F5C71"/>
    <w:rsid w:val="4F2E4EF1"/>
    <w:rsid w:val="4F7F0D86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E15340"/>
    <w:rsid w:val="59EB0360"/>
    <w:rsid w:val="5A0C769B"/>
    <w:rsid w:val="5A1102FA"/>
    <w:rsid w:val="5A9A2A0D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17E67FE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8D0F5D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5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2024-05-29T06:24:37Z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