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人Septin9基因甲基化检测试剂盒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  <w:bookmarkStart w:id="3" w:name="_GoBack"/>
      <w:bookmarkEnd w:id="3"/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</w:rPr>
              <w:t>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人Septin9基因甲基化检测试剂盒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（联检）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人Septin9基因甲基化检测试剂盒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配套辅助试剂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：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C203AD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49366B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2024-07-08T03:54:38Z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