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line="360" w:lineRule="auto"/>
        <w:rPr>
          <w:rFonts w:hint="eastAsia" w:ascii="仿宋" w:hAnsi="仿宋" w:eastAsia="仿宋" w:cs="仿宋"/>
          <w:sz w:val="32"/>
          <w:szCs w:val="36"/>
          <w:lang w:val="en-US"/>
        </w:rPr>
      </w:pPr>
      <w:bookmarkStart w:id="0" w:name="_Toc6715"/>
      <w:bookmarkStart w:id="1" w:name="_Toc3619"/>
      <w:bookmarkStart w:id="2" w:name="_Toc482031998"/>
      <w:r>
        <w:rPr>
          <w:rFonts w:hint="eastAsia" w:ascii="仿宋" w:hAnsi="仿宋" w:eastAsia="仿宋" w:cs="仿宋"/>
          <w:b/>
          <w:bCs/>
          <w:szCs w:val="21"/>
        </w:rPr>
        <w:t>MSC细胞制剂</w:t>
      </w:r>
      <w:r>
        <w:rPr>
          <w:rFonts w:hint="eastAsia" w:ascii="仿宋" w:hAnsi="仿宋" w:eastAsia="仿宋" w:cs="仿宋"/>
          <w:b/>
          <w:bCs/>
          <w:szCs w:val="21"/>
          <w:lang w:val="en-US" w:eastAsia="zh-CN"/>
        </w:rPr>
        <w:t>和NK细胞制剂检测服务</w:t>
      </w:r>
      <w:r>
        <w:rPr>
          <w:rFonts w:hint="eastAsia" w:ascii="仿宋" w:hAnsi="仿宋" w:eastAsia="仿宋" w:cs="仿宋"/>
          <w:i w:val="0"/>
          <w:iCs w:val="0"/>
          <w:caps w:val="0"/>
          <w:color w:val="auto"/>
          <w:spacing w:val="0"/>
          <w:sz w:val="32"/>
          <w:szCs w:val="32"/>
          <w:lang w:val="en-US" w:eastAsia="zh-CN"/>
        </w:rPr>
        <w:t>报价单</w:t>
      </w:r>
    </w:p>
    <w:p>
      <w:pPr>
        <w:pStyle w:val="4"/>
        <w:spacing w:beforeLines="0" w:afterLines="0" w:line="360" w:lineRule="auto"/>
        <w:rPr>
          <w:rFonts w:hint="eastAsia" w:ascii="仿宋" w:hAnsi="仿宋" w:eastAsia="仿宋" w:cs="仿宋"/>
        </w:rPr>
      </w:pPr>
    </w:p>
    <w:p>
      <w:pPr>
        <w:pStyle w:val="4"/>
        <w:spacing w:beforeLines="0" w:afterLines="0" w:line="360" w:lineRule="auto"/>
        <w:ind w:firstLine="562" w:firstLineChars="200"/>
        <w:jc w:val="both"/>
        <w:rPr>
          <w:rFonts w:hint="eastAsia" w:ascii="仿宋" w:hAnsi="仿宋" w:eastAsia="仿宋" w:cs="仿宋"/>
        </w:rPr>
      </w:pPr>
      <w:r>
        <w:rPr>
          <w:rFonts w:hint="eastAsia" w:ascii="仿宋" w:hAnsi="仿宋" w:eastAsia="仿宋" w:cs="仿宋"/>
        </w:rPr>
        <w:t>一、报价承诺</w:t>
      </w:r>
    </w:p>
    <w:p>
      <w:pPr>
        <w:pStyle w:val="4"/>
        <w:spacing w:beforeLines="0" w:afterLines="0" w:line="360" w:lineRule="auto"/>
        <w:ind w:firstLine="562" w:firstLineChars="200"/>
        <w:jc w:val="left"/>
        <w:rPr>
          <w:rFonts w:hint="eastAsia" w:ascii="仿宋" w:hAnsi="仿宋" w:eastAsia="仿宋" w:cs="仿宋"/>
          <w:lang w:val="en-US" w:eastAsia="zh-CN"/>
        </w:rPr>
      </w:pPr>
      <w:r>
        <w:rPr>
          <w:rFonts w:hint="eastAsia" w:ascii="仿宋" w:hAnsi="仿宋" w:eastAsia="仿宋" w:cs="仿宋"/>
        </w:rPr>
        <w:t>1、本报价单请于202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highlight w:val="none"/>
          <w:lang w:val="en-US" w:eastAsia="zh-CN"/>
        </w:rPr>
        <w:t>8</w:t>
      </w:r>
      <w:r>
        <w:rPr>
          <w:rFonts w:hint="eastAsia" w:ascii="仿宋" w:hAnsi="仿宋" w:eastAsia="仿宋" w:cs="仿宋"/>
          <w:highlight w:val="none"/>
        </w:rPr>
        <w:t>月</w:t>
      </w:r>
      <w:r>
        <w:rPr>
          <w:rFonts w:hint="eastAsia" w:ascii="仿宋" w:hAnsi="仿宋" w:eastAsia="仿宋" w:cs="仿宋"/>
          <w:highlight w:val="none"/>
          <w:lang w:val="en-US" w:eastAsia="zh-CN"/>
        </w:rPr>
        <w:t>15</w:t>
      </w:r>
      <w:r>
        <w:rPr>
          <w:rFonts w:hint="eastAsia" w:ascii="仿宋" w:hAnsi="仿宋" w:eastAsia="仿宋" w:cs="仿宋"/>
          <w:highlight w:val="none"/>
        </w:rPr>
        <w:t>日</w:t>
      </w:r>
      <w:r>
        <w:rPr>
          <w:rFonts w:hint="eastAsia" w:ascii="仿宋" w:hAnsi="仿宋" w:eastAsia="仿宋" w:cs="仿宋"/>
          <w:highlight w:val="none"/>
          <w:lang w:val="en-US" w:eastAsia="zh-CN"/>
        </w:rPr>
        <w:t>18</w:t>
      </w:r>
      <w:bookmarkStart w:id="3" w:name="_GoBack"/>
      <w:bookmarkEnd w:id="3"/>
      <w:r>
        <w:rPr>
          <w:rFonts w:hint="eastAsia" w:ascii="仿宋" w:hAnsi="仿宋" w:eastAsia="仿宋" w:cs="仿宋"/>
        </w:rPr>
        <w:t>点前送达</w:t>
      </w:r>
      <w:r>
        <w:rPr>
          <w:rFonts w:hint="eastAsia" w:ascii="仿宋" w:hAnsi="仿宋" w:eastAsia="仿宋" w:cs="仿宋"/>
          <w:lang w:eastAsia="zh-CN"/>
        </w:rPr>
        <w:t>弘爱医院</w:t>
      </w:r>
      <w:r>
        <w:rPr>
          <w:rFonts w:hint="eastAsia" w:ascii="仿宋" w:hAnsi="仿宋" w:eastAsia="仿宋" w:cs="仿宋"/>
        </w:rPr>
        <w:t>综合楼四楼前台（</w:t>
      </w:r>
      <w:r>
        <w:rPr>
          <w:rFonts w:hint="eastAsia" w:ascii="仿宋" w:hAnsi="仿宋" w:eastAsia="仿宋" w:cs="仿宋"/>
          <w:highlight w:val="yellow"/>
        </w:rPr>
        <w:t>报价资料需用档案袋密封，封口加盖公章，不符合此规定，报价无效</w:t>
      </w:r>
      <w:r>
        <w:rPr>
          <w:rFonts w:hint="eastAsia" w:ascii="仿宋" w:hAnsi="仿宋" w:eastAsia="仿宋" w:cs="仿宋"/>
        </w:rPr>
        <w:t>）。邮寄地址：厦门市湖里区仙岳路3777号厦门</w:t>
      </w:r>
      <w:r>
        <w:rPr>
          <w:rFonts w:hint="eastAsia" w:ascii="仿宋" w:hAnsi="仿宋" w:eastAsia="仿宋" w:cs="仿宋"/>
          <w:lang w:eastAsia="zh-CN"/>
        </w:rPr>
        <w:t>弘爱</w:t>
      </w:r>
      <w:r>
        <w:rPr>
          <w:rFonts w:hint="eastAsia" w:ascii="仿宋" w:hAnsi="仿宋" w:eastAsia="仿宋" w:cs="仿宋"/>
        </w:rPr>
        <w:t>医院综合楼四楼</w:t>
      </w:r>
      <w:r>
        <w:rPr>
          <w:rFonts w:hint="eastAsia" w:ascii="仿宋" w:hAnsi="仿宋" w:eastAsia="仿宋" w:cs="仿宋"/>
          <w:lang w:eastAsia="zh-CN"/>
        </w:rPr>
        <w:t>；</w:t>
      </w:r>
      <w:r>
        <w:rPr>
          <w:rFonts w:hint="eastAsia" w:ascii="仿宋" w:hAnsi="仿宋" w:eastAsia="仿宋" w:cs="仿宋"/>
          <w:lang w:val="en-US" w:eastAsia="zh-CN"/>
        </w:rPr>
        <w:t>联系人</w:t>
      </w:r>
      <w:r>
        <w:rPr>
          <w:rFonts w:hint="eastAsia" w:ascii="仿宋" w:hAnsi="仿宋" w:eastAsia="仿宋" w:cs="仿宋"/>
          <w:lang w:eastAsia="zh-CN"/>
        </w:rPr>
        <w:t>：</w:t>
      </w:r>
      <w:r>
        <w:rPr>
          <w:rFonts w:hint="eastAsia" w:ascii="仿宋" w:hAnsi="仿宋" w:eastAsia="仿宋" w:cs="仿宋"/>
          <w:lang w:val="en-US" w:eastAsia="zh-CN"/>
        </w:rPr>
        <w:t>蒋际友；联系电话：18959294298 。</w:t>
      </w:r>
    </w:p>
    <w:p>
      <w:pPr>
        <w:rPr>
          <w:rFonts w:hint="eastAsia" w:ascii="仿宋" w:hAnsi="仿宋" w:eastAsia="仿宋" w:cs="仿宋"/>
          <w:b/>
          <w:bCs/>
          <w:kern w:val="2"/>
          <w:sz w:val="28"/>
          <w:szCs w:val="32"/>
          <w:lang w:val="en-US" w:eastAsia="zh-CN" w:bidi="ar-SA"/>
        </w:rPr>
      </w:pPr>
      <w:r>
        <w:rPr>
          <w:rFonts w:hint="eastAsia" w:ascii="仿宋" w:hAnsi="仿宋" w:eastAsia="仿宋" w:cs="仿宋"/>
          <w:lang w:val="en-US" w:eastAsia="zh-CN"/>
        </w:rPr>
        <w:t xml:space="preserve">     </w:t>
      </w:r>
      <w:r>
        <w:rPr>
          <w:rFonts w:hint="eastAsia" w:ascii="仿宋" w:hAnsi="仿宋" w:eastAsia="仿宋" w:cs="仿宋"/>
          <w:b/>
          <w:bCs/>
          <w:kern w:val="2"/>
          <w:sz w:val="28"/>
          <w:szCs w:val="32"/>
          <w:lang w:val="en-US" w:eastAsia="zh-CN" w:bidi="ar-SA"/>
        </w:rPr>
        <w:t>2、本公司承诺可提供的其他服务条款：（若有其他服务条款内容，可自行增加说明）</w:t>
      </w:r>
    </w:p>
    <w:p>
      <w:pPr>
        <w:pStyle w:val="2"/>
        <w:rPr>
          <w:rFonts w:hint="eastAsia" w:ascii="仿宋" w:hAnsi="仿宋" w:eastAsia="仿宋" w:cs="仿宋"/>
          <w:lang w:val="en-US" w:eastAsia="zh-CN"/>
        </w:rPr>
      </w:pPr>
    </w:p>
    <w:p>
      <w:pPr>
        <w:pStyle w:val="4"/>
        <w:spacing w:beforeLines="0" w:afterLines="0" w:line="360" w:lineRule="auto"/>
        <w:ind w:firstLine="562" w:firstLineChars="200"/>
        <w:jc w:val="both"/>
        <w:rPr>
          <w:rFonts w:hint="eastAsia" w:ascii="仿宋" w:hAnsi="仿宋" w:eastAsia="仿宋" w:cs="仿宋"/>
        </w:rPr>
      </w:pPr>
      <w:r>
        <w:rPr>
          <w:rFonts w:hint="eastAsia" w:ascii="仿宋" w:hAnsi="仿宋" w:eastAsia="仿宋" w:cs="仿宋"/>
        </w:rPr>
        <w:t>二、报价清单明细详见附件</w:t>
      </w:r>
    </w:p>
    <w:p>
      <w:pPr>
        <w:pStyle w:val="4"/>
        <w:spacing w:beforeLines="0" w:afterLines="0" w:line="360" w:lineRule="auto"/>
        <w:rPr>
          <w:rFonts w:hint="eastAsia" w:ascii="仿宋" w:hAnsi="仿宋" w:eastAsia="仿宋" w:cs="仿宋"/>
        </w:rPr>
      </w:pPr>
    </w:p>
    <w:p>
      <w:pPr>
        <w:pStyle w:val="4"/>
        <w:spacing w:beforeLines="0" w:afterLines="0" w:line="360" w:lineRule="auto"/>
        <w:rPr>
          <w:rFonts w:hint="eastAsia" w:ascii="仿宋" w:hAnsi="仿宋" w:eastAsia="仿宋" w:cs="仿宋"/>
        </w:rPr>
      </w:pPr>
    </w:p>
    <w:p>
      <w:pPr>
        <w:pStyle w:val="4"/>
        <w:spacing w:beforeLines="0" w:afterLines="0" w:line="360" w:lineRule="auto"/>
        <w:rPr>
          <w:rFonts w:hint="eastAsia" w:ascii="仿宋" w:hAnsi="仿宋" w:eastAsia="仿宋" w:cs="仿宋"/>
        </w:rPr>
      </w:pPr>
    </w:p>
    <w:p>
      <w:pPr>
        <w:pStyle w:val="4"/>
        <w:wordWrap w:val="0"/>
        <w:spacing w:beforeLines="0" w:afterLines="0" w:line="360" w:lineRule="auto"/>
        <w:jc w:val="right"/>
        <w:rPr>
          <w:rFonts w:hint="eastAsia" w:ascii="仿宋" w:hAnsi="仿宋" w:eastAsia="仿宋" w:cs="仿宋"/>
          <w:lang w:val="en-US" w:eastAsia="zh-CN"/>
        </w:rPr>
      </w:pPr>
      <w:r>
        <w:rPr>
          <w:rFonts w:hint="eastAsia" w:ascii="仿宋" w:hAnsi="仿宋" w:eastAsia="仿宋" w:cs="仿宋"/>
        </w:rPr>
        <w:t>                报价公司（公章）：</w:t>
      </w:r>
      <w:r>
        <w:rPr>
          <w:rFonts w:hint="eastAsia" w:ascii="仿宋" w:hAnsi="仿宋" w:eastAsia="仿宋" w:cs="仿宋"/>
          <w:lang w:val="en-US" w:eastAsia="zh-CN"/>
        </w:rPr>
        <w:t xml:space="preserve">                                   </w:t>
      </w:r>
    </w:p>
    <w:p>
      <w:pPr>
        <w:pStyle w:val="4"/>
        <w:wordWrap w:val="0"/>
        <w:spacing w:beforeLines="0" w:afterLines="0" w:line="360" w:lineRule="auto"/>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2024年8月   日    </w:t>
      </w:r>
    </w:p>
    <w:p>
      <w:pPr>
        <w:rPr>
          <w:rFonts w:hint="eastAsia" w:ascii="仿宋" w:hAnsi="仿宋" w:eastAsia="仿宋" w:cs="仿宋"/>
          <w:lang w:val="en-US" w:eastAsia="zh-CN"/>
        </w:rPr>
      </w:pPr>
    </w:p>
    <w:p>
      <w:pPr>
        <w:pStyle w:val="2"/>
        <w:rPr>
          <w:rFonts w:hint="eastAsia" w:ascii="仿宋" w:hAnsi="仿宋" w:eastAsia="仿宋" w:cs="仿宋"/>
          <w:lang w:val="en-US" w:eastAsia="zh-CN"/>
        </w:rPr>
        <w:sectPr>
          <w:footerReference r:id="rId3" w:type="default"/>
          <w:pgSz w:w="11906" w:h="16838"/>
          <w:pgMar w:top="1474" w:right="926"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jc w:val="center"/>
        <w:rPr>
          <w:rFonts w:hint="eastAsia" w:ascii="仿宋" w:hAnsi="仿宋" w:eastAsia="仿宋" w:cs="仿宋"/>
          <w:b/>
          <w:bCs/>
          <w:spacing w:val="0"/>
          <w:kern w:val="2"/>
          <w:sz w:val="40"/>
          <w:szCs w:val="48"/>
          <w:vertAlign w:val="baseline"/>
          <w:lang w:val="en-US" w:eastAsia="zh-CN" w:bidi="ar-SA"/>
        </w:rPr>
      </w:pPr>
    </w:p>
    <w:p>
      <w:pPr>
        <w:pStyle w:val="2"/>
        <w:jc w:val="center"/>
        <w:rPr>
          <w:rFonts w:hint="eastAsia" w:ascii="仿宋" w:hAnsi="仿宋" w:eastAsia="仿宋" w:cs="仿宋"/>
          <w:b/>
          <w:bCs/>
          <w:spacing w:val="0"/>
          <w:kern w:val="2"/>
          <w:sz w:val="40"/>
          <w:szCs w:val="48"/>
          <w:vertAlign w:val="baseline"/>
          <w:lang w:val="en-US" w:eastAsia="zh-CN" w:bidi="ar-SA"/>
        </w:rPr>
      </w:pPr>
      <w:r>
        <w:rPr>
          <w:rFonts w:hint="eastAsia" w:ascii="仿宋" w:hAnsi="仿宋" w:eastAsia="仿宋" w:cs="仿宋"/>
          <w:b/>
          <w:bCs/>
          <w:spacing w:val="0"/>
          <w:kern w:val="2"/>
          <w:sz w:val="40"/>
          <w:szCs w:val="48"/>
          <w:vertAlign w:val="baseline"/>
          <w:lang w:val="en-US" w:eastAsia="zh-CN" w:bidi="ar-SA"/>
        </w:rPr>
        <w:t>报价清单明细</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8" w:type="pct"/>
            <w:vAlign w:val="center"/>
          </w:tcPr>
          <w:p>
            <w:pPr>
              <w:pStyle w:val="2"/>
              <w:jc w:val="center"/>
              <w:rPr>
                <w:rFonts w:hint="eastAsia"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序号</w:t>
            </w:r>
          </w:p>
        </w:tc>
        <w:tc>
          <w:tcPr>
            <w:tcW w:w="4331" w:type="pct"/>
            <w:vAlign w:val="center"/>
          </w:tcPr>
          <w:p>
            <w:pPr>
              <w:pStyle w:val="2"/>
              <w:jc w:val="center"/>
              <w:rPr>
                <w:rFonts w:hint="eastAsia"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清单明细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8" w:type="pct"/>
            <w:vAlign w:val="center"/>
          </w:tcPr>
          <w:p>
            <w:pPr>
              <w:pStyle w:val="2"/>
              <w:jc w:val="center"/>
              <w:rPr>
                <w:rFonts w:hint="eastAsia" w:ascii="仿宋" w:hAnsi="仿宋" w:eastAsia="仿宋" w:cs="仿宋"/>
                <w:b w:val="0"/>
                <w:bCs w:val="0"/>
                <w:spacing w:val="0"/>
                <w:kern w:val="2"/>
                <w:sz w:val="28"/>
                <w:szCs w:val="28"/>
                <w:vertAlign w:val="baseline"/>
                <w:lang w:val="en-US" w:eastAsia="zh-CN" w:bidi="ar-SA"/>
              </w:rPr>
            </w:pPr>
            <w:r>
              <w:rPr>
                <w:rFonts w:hint="eastAsia" w:ascii="仿宋" w:hAnsi="仿宋" w:eastAsia="仿宋" w:cs="仿宋"/>
                <w:b w:val="0"/>
                <w:bCs w:val="0"/>
                <w:spacing w:val="0"/>
                <w:kern w:val="2"/>
                <w:sz w:val="28"/>
                <w:szCs w:val="28"/>
                <w:vertAlign w:val="baseline"/>
                <w:lang w:val="en-US" w:eastAsia="zh-CN" w:bidi="ar-SA"/>
              </w:rPr>
              <w:t>1</w:t>
            </w:r>
          </w:p>
        </w:tc>
        <w:tc>
          <w:tcPr>
            <w:tcW w:w="4331" w:type="pct"/>
            <w:vAlign w:val="center"/>
          </w:tcPr>
          <w:p>
            <w:pPr>
              <w:pStyle w:val="4"/>
              <w:spacing w:beforeLines="0" w:afterLines="0" w:line="360" w:lineRule="auto"/>
              <w:jc w:val="left"/>
              <w:rPr>
                <w:rFonts w:hint="eastAsia" w:ascii="仿宋" w:hAnsi="仿宋" w:eastAsia="仿宋" w:cs="仿宋"/>
                <w:b w:val="0"/>
                <w:bCs w:val="0"/>
                <w:spacing w:val="0"/>
                <w:kern w:val="2"/>
                <w:sz w:val="28"/>
                <w:szCs w:val="28"/>
                <w:vertAlign w:val="baseline"/>
                <w:lang w:val="en-US" w:eastAsia="zh-CN" w:bidi="ar-SA"/>
              </w:rPr>
            </w:pPr>
            <w:r>
              <w:rPr>
                <w:rFonts w:hint="eastAsia" w:ascii="仿宋" w:hAnsi="仿宋" w:eastAsia="仿宋" w:cs="仿宋"/>
                <w:b w:val="0"/>
                <w:bCs w:val="0"/>
                <w:spacing w:val="0"/>
                <w:kern w:val="2"/>
                <w:sz w:val="28"/>
                <w:szCs w:val="28"/>
                <w:vertAlign w:val="baseline"/>
                <w:lang w:val="en-US" w:eastAsia="zh-CN" w:bidi="ar-SA"/>
              </w:rPr>
              <w:t>MSC细胞制剂和NK细胞制剂检测服务报价明细表（含税）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8" w:type="pct"/>
            <w:vAlign w:val="center"/>
          </w:tcPr>
          <w:p>
            <w:pPr>
              <w:pStyle w:val="2"/>
              <w:jc w:val="center"/>
              <w:rPr>
                <w:rFonts w:hint="eastAsia"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2</w:t>
            </w:r>
          </w:p>
        </w:tc>
        <w:tc>
          <w:tcPr>
            <w:tcW w:w="4331" w:type="pct"/>
            <w:vAlign w:val="center"/>
          </w:tcPr>
          <w:p>
            <w:pPr>
              <w:pStyle w:val="2"/>
              <w:jc w:val="left"/>
              <w:rPr>
                <w:rFonts w:hint="eastAsia" w:ascii="仿宋" w:hAnsi="仿宋" w:eastAsia="仿宋" w:cs="仿宋"/>
                <w:b w:val="0"/>
                <w:bCs w:val="0"/>
                <w:spacing w:val="0"/>
                <w:kern w:val="2"/>
                <w:sz w:val="28"/>
                <w:szCs w:val="28"/>
                <w:vertAlign w:val="baseline"/>
                <w:lang w:val="en-US" w:eastAsia="zh-CN" w:bidi="ar-SA"/>
              </w:rPr>
            </w:pPr>
            <w:r>
              <w:rPr>
                <w:rFonts w:hint="eastAsia" w:ascii="仿宋" w:hAnsi="仿宋" w:eastAsia="仿宋" w:cs="仿宋"/>
                <w:b w:val="0"/>
                <w:bCs w:val="0"/>
                <w:spacing w:val="0"/>
                <w:kern w:val="2"/>
                <w:sz w:val="28"/>
                <w:szCs w:val="28"/>
                <w:vertAlign w:val="baseline"/>
                <w:lang w:val="en-US" w:eastAsia="zh-CN" w:bidi="ar-SA"/>
              </w:rPr>
              <w:t>机构资质：《营业执照》或《事业单位法人证书》、《CNAS实验室认可证书》、《对应检测项目CNAS认证证明》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8" w:type="pct"/>
            <w:vAlign w:val="center"/>
          </w:tcPr>
          <w:p>
            <w:pPr>
              <w:pStyle w:val="2"/>
              <w:jc w:val="center"/>
              <w:rPr>
                <w:rFonts w:hint="eastAsia"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3</w:t>
            </w:r>
          </w:p>
        </w:tc>
        <w:tc>
          <w:tcPr>
            <w:tcW w:w="4331" w:type="pct"/>
            <w:vAlign w:val="center"/>
          </w:tcPr>
          <w:p>
            <w:pPr>
              <w:pStyle w:val="2"/>
              <w:jc w:val="left"/>
              <w:rPr>
                <w:rFonts w:hint="eastAsia" w:ascii="仿宋" w:hAnsi="仿宋" w:eastAsia="仿宋" w:cs="仿宋"/>
                <w:b w:val="0"/>
                <w:bCs w:val="0"/>
                <w:spacing w:val="0"/>
                <w:kern w:val="2"/>
                <w:sz w:val="28"/>
                <w:szCs w:val="28"/>
                <w:vertAlign w:val="baseline"/>
                <w:lang w:val="en-US" w:eastAsia="zh-CN" w:bidi="ar-SA"/>
              </w:rPr>
            </w:pPr>
            <w:r>
              <w:rPr>
                <w:rFonts w:hint="eastAsia" w:ascii="仿宋" w:hAnsi="仿宋" w:eastAsia="仿宋" w:cs="仿宋"/>
                <w:b w:val="0"/>
                <w:bCs w:val="0"/>
                <w:spacing w:val="0"/>
                <w:kern w:val="2"/>
                <w:sz w:val="28"/>
                <w:szCs w:val="28"/>
                <w:vertAlign w:val="baseline"/>
                <w:lang w:val="en-US" w:eastAsia="zh-CN" w:bidi="ar-SA"/>
              </w:rPr>
              <w:t>其他相关资质、体系认证证书、《诚信守法承诺书》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8" w:type="pct"/>
            <w:vAlign w:val="center"/>
          </w:tcPr>
          <w:p>
            <w:pPr>
              <w:pStyle w:val="2"/>
              <w:jc w:val="center"/>
              <w:rPr>
                <w:rFonts w:hint="default"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4</w:t>
            </w:r>
          </w:p>
        </w:tc>
        <w:tc>
          <w:tcPr>
            <w:tcW w:w="4331" w:type="pct"/>
            <w:vAlign w:val="center"/>
          </w:tcPr>
          <w:p>
            <w:pPr>
              <w:pStyle w:val="2"/>
              <w:jc w:val="left"/>
              <w:rPr>
                <w:rFonts w:hint="eastAsia" w:ascii="仿宋" w:hAnsi="仿宋" w:eastAsia="仿宋" w:cs="仿宋"/>
                <w:b w:val="0"/>
                <w:bCs w:val="0"/>
                <w:spacing w:val="0"/>
                <w:kern w:val="2"/>
                <w:sz w:val="28"/>
                <w:szCs w:val="28"/>
                <w:vertAlign w:val="baseline"/>
                <w:lang w:val="en-US" w:eastAsia="zh-CN" w:bidi="ar-SA"/>
              </w:rPr>
            </w:pPr>
            <w:r>
              <w:rPr>
                <w:rFonts w:hint="eastAsia" w:ascii="仿宋" w:hAnsi="仿宋" w:eastAsia="仿宋" w:cs="仿宋"/>
                <w:b w:val="0"/>
                <w:bCs w:val="0"/>
                <w:spacing w:val="0"/>
                <w:kern w:val="2"/>
                <w:sz w:val="28"/>
                <w:szCs w:val="28"/>
                <w:vertAlign w:val="baseline"/>
                <w:lang w:val="en-US" w:eastAsia="zh-CN" w:bidi="ar-SA"/>
              </w:rPr>
              <w:t>《技术服务协议（合同）模板》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000" w:type="pct"/>
            <w:gridSpan w:val="2"/>
            <w:vAlign w:val="center"/>
          </w:tcPr>
          <w:p>
            <w:pPr>
              <w:pStyle w:val="2"/>
              <w:jc w:val="left"/>
              <w:rPr>
                <w:rFonts w:hint="eastAsia" w:ascii="仿宋" w:hAnsi="仿宋" w:eastAsia="仿宋" w:cs="仿宋"/>
                <w:b w:val="0"/>
                <w:bCs w:val="0"/>
                <w:sz w:val="28"/>
                <w:szCs w:val="28"/>
                <w:highlight w:val="yellow"/>
                <w:lang w:val="en-US" w:eastAsia="zh-CN"/>
              </w:rPr>
            </w:pPr>
            <w:r>
              <w:rPr>
                <w:rFonts w:hint="eastAsia" w:ascii="仿宋" w:hAnsi="仿宋" w:eastAsia="仿宋" w:cs="仿宋"/>
                <w:b/>
                <w:bCs/>
                <w:spacing w:val="0"/>
                <w:kern w:val="2"/>
                <w:sz w:val="28"/>
                <w:szCs w:val="28"/>
                <w:highlight w:val="yellow"/>
                <w:vertAlign w:val="baseline"/>
                <w:lang w:val="en-US" w:eastAsia="zh-CN" w:bidi="ar-SA"/>
              </w:rPr>
              <w:t>序号1：</w:t>
            </w:r>
            <w:r>
              <w:rPr>
                <w:rFonts w:hint="eastAsia" w:ascii="仿宋" w:hAnsi="仿宋" w:eastAsia="仿宋" w:cs="仿宋"/>
                <w:b w:val="0"/>
                <w:bCs w:val="0"/>
                <w:spacing w:val="0"/>
                <w:kern w:val="2"/>
                <w:sz w:val="28"/>
                <w:szCs w:val="28"/>
                <w:highlight w:val="yellow"/>
                <w:vertAlign w:val="baseline"/>
                <w:lang w:val="en-US" w:eastAsia="zh-CN" w:bidi="ar-SA"/>
              </w:rPr>
              <w:t>报价文件必</w:t>
            </w:r>
            <w:r>
              <w:rPr>
                <w:rFonts w:hint="eastAsia" w:ascii="仿宋" w:hAnsi="仿宋" w:eastAsia="仿宋" w:cs="仿宋"/>
                <w:b w:val="0"/>
                <w:bCs w:val="0"/>
                <w:sz w:val="28"/>
                <w:szCs w:val="28"/>
                <w:highlight w:val="yellow"/>
              </w:rPr>
              <w:t>需用档案袋密封</w:t>
            </w:r>
            <w:r>
              <w:rPr>
                <w:rFonts w:hint="eastAsia" w:ascii="仿宋" w:hAnsi="仿宋" w:eastAsia="仿宋" w:cs="仿宋"/>
                <w:b w:val="0"/>
                <w:bCs w:val="0"/>
                <w:sz w:val="28"/>
                <w:szCs w:val="28"/>
                <w:highlight w:val="yellow"/>
                <w:lang w:val="en-US" w:eastAsia="zh-CN"/>
              </w:rPr>
              <w:t>提供</w:t>
            </w:r>
          </w:p>
          <w:p>
            <w:pPr>
              <w:pStyle w:val="2"/>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highlight w:val="yellow"/>
                <w:lang w:val="en-US" w:eastAsia="zh-CN"/>
              </w:rPr>
              <w:t>序号2-4</w:t>
            </w:r>
            <w:r>
              <w:rPr>
                <w:rFonts w:hint="eastAsia" w:ascii="仿宋" w:hAnsi="仿宋" w:eastAsia="仿宋" w:cs="仿宋"/>
                <w:b/>
                <w:bCs/>
                <w:sz w:val="28"/>
                <w:szCs w:val="28"/>
                <w:highlight w:val="none"/>
                <w:lang w:val="en-US" w:eastAsia="zh-CN"/>
              </w:rPr>
              <w:t>：</w:t>
            </w:r>
            <w:r>
              <w:rPr>
                <w:rFonts w:hint="eastAsia" w:ascii="仿宋" w:hAnsi="仿宋" w:eastAsia="仿宋" w:cs="仿宋"/>
                <w:b w:val="0"/>
                <w:bCs w:val="0"/>
                <w:sz w:val="28"/>
                <w:szCs w:val="28"/>
                <w:vertAlign w:val="baseline"/>
                <w:lang w:val="en-US" w:eastAsia="zh-CN"/>
              </w:rPr>
              <w:t>整理相关资料</w:t>
            </w:r>
            <w:r>
              <w:rPr>
                <w:rFonts w:hint="eastAsia" w:ascii="仿宋" w:hAnsi="仿宋" w:eastAsia="仿宋" w:cs="仿宋"/>
                <w:b/>
                <w:bCs/>
                <w:sz w:val="28"/>
                <w:szCs w:val="28"/>
                <w:vertAlign w:val="baseline"/>
                <w:lang w:val="en-US" w:eastAsia="zh-CN"/>
              </w:rPr>
              <w:t>盖章扫描</w:t>
            </w:r>
            <w:r>
              <w:rPr>
                <w:rFonts w:hint="eastAsia" w:ascii="仿宋" w:hAnsi="仿宋" w:eastAsia="仿宋" w:cs="仿宋"/>
                <w:b w:val="0"/>
                <w:bCs w:val="0"/>
                <w:sz w:val="28"/>
                <w:szCs w:val="28"/>
                <w:vertAlign w:val="baseline"/>
                <w:lang w:val="en-US" w:eastAsia="zh-CN"/>
              </w:rPr>
              <w:t>发送至官方邮箱</w:t>
            </w:r>
            <w:r>
              <w:rPr>
                <w:rFonts w:hint="eastAsia" w:ascii="仿宋" w:hAnsi="仿宋" w:eastAsia="仿宋" w:cs="仿宋"/>
                <w:b/>
                <w:bCs/>
                <w:sz w:val="28"/>
                <w:szCs w:val="28"/>
                <w:vertAlign w:val="baseline"/>
                <w:lang w:val="en-US" w:eastAsia="zh-CN"/>
              </w:rPr>
              <w:t>，邮件名称：（正式报价）MSC细胞制剂、NK细胞制剂检测服务+公司名称：jfsj@chinacdc.com</w:t>
            </w:r>
          </w:p>
        </w:tc>
      </w:tr>
      <w:bookmarkEnd w:id="0"/>
      <w:bookmarkEnd w:id="1"/>
      <w:bookmarkEnd w:id="2"/>
    </w:tbl>
    <w:p>
      <w:pP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br w:type="page"/>
      </w:r>
    </w:p>
    <w:p>
      <w:pPr>
        <w:pStyle w:val="2"/>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仿宋" w:hAnsi="仿宋" w:eastAsia="仿宋" w:cs="仿宋"/>
          <w:b/>
          <w:bCs/>
          <w:spacing w:val="0"/>
          <w:kern w:val="2"/>
          <w:sz w:val="28"/>
          <w:szCs w:val="28"/>
          <w:vertAlign w:val="baseline"/>
          <w:lang w:val="en-US" w:eastAsia="zh-CN" w:bidi="ar-SA"/>
        </w:rPr>
      </w:pPr>
      <w:r>
        <w:rPr>
          <w:rFonts w:hint="eastAsia" w:ascii="仿宋" w:hAnsi="仿宋" w:eastAsia="仿宋" w:cs="仿宋"/>
          <w:b/>
          <w:bCs/>
          <w:spacing w:val="0"/>
          <w:kern w:val="2"/>
          <w:sz w:val="28"/>
          <w:szCs w:val="28"/>
          <w:vertAlign w:val="baseline"/>
          <w:lang w:val="en-US" w:eastAsia="zh-CN" w:bidi="ar-SA"/>
        </w:rPr>
        <w:t>MSC细胞制剂和NK细胞制剂检测服务报价明细表（含税）</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13"/>
        <w:gridCol w:w="2827"/>
        <w:gridCol w:w="1290"/>
        <w:gridCol w:w="1485"/>
        <w:gridCol w:w="144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sz w:val="24"/>
                <w:szCs w:val="24"/>
              </w:rPr>
              <w:t>序号</w:t>
            </w:r>
          </w:p>
        </w:tc>
        <w:tc>
          <w:tcPr>
            <w:tcW w:w="755"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sz w:val="24"/>
                <w:szCs w:val="24"/>
              </w:rPr>
              <w:t>检测项目名称</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sz w:val="24"/>
                <w:szCs w:val="24"/>
              </w:rPr>
              <w:t>检测标准方法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CNAS认证</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（元/株）</w:t>
            </w: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w:t>
            </w:r>
          </w:p>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报告时效</w:t>
            </w:r>
          </w:p>
          <w:p>
            <w:pPr>
              <w:pStyle w:val="2"/>
              <w:jc w:val="center"/>
              <w:rPr>
                <w:rFonts w:hint="eastAsia" w:ascii="仿宋" w:hAnsi="仿宋" w:eastAsia="仿宋" w:cs="仿宋"/>
                <w:lang w:val="en-US" w:eastAsia="zh-CN"/>
              </w:rPr>
            </w:pPr>
            <w:r>
              <w:rPr>
                <w:rFonts w:hint="eastAsia" w:ascii="仿宋" w:hAnsi="仿宋" w:eastAsia="仿宋" w:cs="仿宋"/>
                <w:b/>
                <w:bCs/>
                <w:sz w:val="24"/>
                <w:szCs w:val="24"/>
                <w:lang w:val="en-US" w:eastAsia="zh-CN"/>
              </w:rPr>
              <w:t>（工作日）</w:t>
            </w:r>
          </w:p>
        </w:tc>
        <w:tc>
          <w:tcPr>
            <w:tcW w:w="71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1</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细胞形态检测</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镜检法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细胞表面标记物检测</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行业标准（流式细胞术）</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细菌真菌检测</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《中国药典》2020年版第三部微生物检查法1101无菌检查法 （直接接种法）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支原体检测</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《中国药典》2020年版第三部通则3301支原体检查法 （培养法）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5</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细胞存活率</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行业标准（台盼蓝染色法）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6</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人类免疫缺陷病毒1型(HIV-1)</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《中国药典》2020年版第三部通则3306</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7</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乙型肝炎病毒（HBV）</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《中国药典》2020年版第三部通则3306</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8</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丙型肝炎病毒（HCV)</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《中国药典》2020年版第三部通则3306</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9</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人巨细胞病毒（HCMV)</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《全国临床检验操作规程》第4版第五篇第五章第一节病毒核酸检测</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10</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人EB病毒（EBV）</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《全国临床检验操作规程》第4版第五篇第五章第一节病毒核酸检测</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11</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细菌内毒素检测</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《中国药典》2020年版第三部1143细菌内毒素检查法（动态显色法）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1"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12</w:t>
            </w:r>
          </w:p>
        </w:tc>
        <w:tc>
          <w:tcPr>
            <w:tcW w:w="755" w:type="pct"/>
            <w:vAlign w:val="center"/>
          </w:tcPr>
          <w:p>
            <w:pPr>
              <w:keepNext w:val="0"/>
              <w:keepLines w:val="0"/>
              <w:pageBreakBefore w:val="0"/>
              <w:kinsoku/>
              <w:wordWrap/>
              <w:overflowPunct/>
              <w:topLinePunct w:val="0"/>
              <w:autoSpaceDE w:val="0"/>
              <w:autoSpaceDN w:val="0"/>
              <w:bidi w:val="0"/>
              <w:adjustRightInd/>
              <w:snapToGrid/>
              <w:spacing w:line="240" w:lineRule="auto"/>
              <w:jc w:val="both"/>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成瘤性检查</w:t>
            </w:r>
          </w:p>
        </w:tc>
        <w:tc>
          <w:tcPr>
            <w:tcW w:w="1323" w:type="pct"/>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《中国药典》2020年版第三部生物制品生产检定用动物细胞基质制备及质量控制附件二成瘤性检查法</w:t>
            </w:r>
          </w:p>
        </w:tc>
        <w:tc>
          <w:tcPr>
            <w:tcW w:w="603"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□有    □无</w:t>
            </w:r>
          </w:p>
        </w:tc>
        <w:tc>
          <w:tcPr>
            <w:tcW w:w="695"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674"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c>
          <w:tcPr>
            <w:tcW w:w="716" w:type="pct"/>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000" w:type="pct"/>
            <w:gridSpan w:val="7"/>
            <w:vAlign w:val="center"/>
          </w:tcPr>
          <w:p>
            <w:pPr>
              <w:keepNext w:val="0"/>
              <w:keepLines w:val="0"/>
              <w:pageBreakBefore w:val="0"/>
              <w:kinsoku/>
              <w:wordWrap/>
              <w:overflowPunct/>
              <w:topLinePunct w:val="0"/>
              <w:autoSpaceDE w:val="0"/>
              <w:autoSpaceDN w:val="0"/>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p>
            <w:pPr>
              <w:keepNext w:val="0"/>
              <w:keepLines w:val="0"/>
              <w:pageBreakBefore w:val="0"/>
              <w:kinsoku/>
              <w:wordWrap/>
              <w:overflowPunct/>
              <w:topLinePunct w:val="0"/>
              <w:autoSpaceDE w:val="0"/>
              <w:autoSpaceDN w:val="0"/>
              <w:bidi w:val="0"/>
              <w:adjustRightInd/>
              <w:snapToGrid/>
              <w:spacing w:line="240" w:lineRule="auto"/>
              <w:jc w:val="left"/>
              <w:rPr>
                <w:rFonts w:hint="default"/>
                <w:lang w:val="en-US" w:eastAsia="zh-CN"/>
              </w:rPr>
            </w:pPr>
            <w:r>
              <w:rPr>
                <w:rFonts w:hint="eastAsia" w:ascii="仿宋" w:hAnsi="仿宋" w:eastAsia="仿宋" w:cs="仿宋"/>
                <w:sz w:val="24"/>
                <w:szCs w:val="24"/>
                <w:lang w:val="en-US" w:eastAsia="zh-CN"/>
              </w:rPr>
              <w:t>发票类型及税点：</w:t>
            </w:r>
          </w:p>
        </w:tc>
      </w:tr>
    </w:tbl>
    <w:p>
      <w:pPr>
        <w:pStyle w:val="2"/>
        <w:wordWrap w:val="0"/>
        <w:jc w:val="right"/>
        <w:rPr>
          <w:rFonts w:hint="eastAsia" w:ascii="仿宋" w:hAnsi="仿宋" w:eastAsia="仿宋" w:cs="仿宋"/>
          <w:b/>
          <w:bCs/>
          <w:lang w:val="en-US" w:eastAsia="zh-CN"/>
        </w:rPr>
      </w:pPr>
    </w:p>
    <w:p>
      <w:pPr>
        <w:pStyle w:val="2"/>
        <w:wordWrap w:val="0"/>
        <w:jc w:val="right"/>
        <w:rPr>
          <w:rFonts w:hint="eastAsia" w:ascii="仿宋" w:hAnsi="仿宋" w:eastAsia="仿宋" w:cs="仿宋"/>
          <w:b/>
          <w:bCs/>
          <w:lang w:val="en-US" w:eastAsia="zh-CN"/>
        </w:rPr>
      </w:pPr>
      <w:r>
        <w:rPr>
          <w:rFonts w:hint="eastAsia" w:ascii="仿宋" w:hAnsi="仿宋" w:eastAsia="仿宋" w:cs="仿宋"/>
          <w:b/>
          <w:bCs/>
          <w:lang w:val="en-US" w:eastAsia="zh-CN"/>
        </w:rPr>
        <w:t xml:space="preserve">供应商名称（盖章）：                </w:t>
      </w:r>
    </w:p>
    <w:p>
      <w:pPr>
        <w:pStyle w:val="2"/>
        <w:wordWrap w:val="0"/>
        <w:jc w:val="right"/>
        <w:rPr>
          <w:rFonts w:hint="eastAsia" w:ascii="仿宋" w:hAnsi="仿宋" w:eastAsia="仿宋" w:cs="仿宋"/>
          <w:lang w:val="en-US" w:eastAsia="zh-CN"/>
        </w:rPr>
      </w:pPr>
      <w:r>
        <w:rPr>
          <w:rFonts w:hint="eastAsia" w:ascii="仿宋" w:hAnsi="仿宋" w:eastAsia="仿宋" w:cs="仿宋"/>
          <w:b/>
          <w:bCs/>
          <w:lang w:val="en-US" w:eastAsia="zh-CN"/>
        </w:rPr>
        <w:t>2024年8月   日</w:t>
      </w:r>
    </w:p>
    <w:sectPr>
      <w:footerReference r:id="rId4"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zVkMzY1MmE3N2MxMTAyNThlMGFkMjA3NGNmNTEifQ=="/>
  </w:docVars>
  <w:rsids>
    <w:rsidRoot w:val="00000000"/>
    <w:rsid w:val="002E57B6"/>
    <w:rsid w:val="009C512B"/>
    <w:rsid w:val="00E865C2"/>
    <w:rsid w:val="0123385E"/>
    <w:rsid w:val="012E01CE"/>
    <w:rsid w:val="015F5235"/>
    <w:rsid w:val="016F6F00"/>
    <w:rsid w:val="01897129"/>
    <w:rsid w:val="0194279C"/>
    <w:rsid w:val="01BB5A85"/>
    <w:rsid w:val="01C42503"/>
    <w:rsid w:val="01FA3F5C"/>
    <w:rsid w:val="01FF1EBF"/>
    <w:rsid w:val="0210543F"/>
    <w:rsid w:val="027556D1"/>
    <w:rsid w:val="0288275E"/>
    <w:rsid w:val="02B843E1"/>
    <w:rsid w:val="02C96467"/>
    <w:rsid w:val="03800DA3"/>
    <w:rsid w:val="04121435"/>
    <w:rsid w:val="044723F7"/>
    <w:rsid w:val="045D4F1F"/>
    <w:rsid w:val="045D7A1E"/>
    <w:rsid w:val="048F0C90"/>
    <w:rsid w:val="04B33159"/>
    <w:rsid w:val="04C5568A"/>
    <w:rsid w:val="04CE5036"/>
    <w:rsid w:val="04DA65D3"/>
    <w:rsid w:val="05750EC4"/>
    <w:rsid w:val="0614029B"/>
    <w:rsid w:val="06266762"/>
    <w:rsid w:val="065274B6"/>
    <w:rsid w:val="0672478B"/>
    <w:rsid w:val="06A920AD"/>
    <w:rsid w:val="06B544ED"/>
    <w:rsid w:val="06BF4CCC"/>
    <w:rsid w:val="072566B3"/>
    <w:rsid w:val="07B37235"/>
    <w:rsid w:val="07DE37F0"/>
    <w:rsid w:val="07DF684E"/>
    <w:rsid w:val="082C3238"/>
    <w:rsid w:val="082F145F"/>
    <w:rsid w:val="0916191F"/>
    <w:rsid w:val="098E1D98"/>
    <w:rsid w:val="09A7580B"/>
    <w:rsid w:val="09B40163"/>
    <w:rsid w:val="09F036B5"/>
    <w:rsid w:val="09FB6B06"/>
    <w:rsid w:val="0A386EF2"/>
    <w:rsid w:val="0A946EED"/>
    <w:rsid w:val="0A9B7A94"/>
    <w:rsid w:val="0A9C1396"/>
    <w:rsid w:val="0AB74E3B"/>
    <w:rsid w:val="0AB87360"/>
    <w:rsid w:val="0B04224A"/>
    <w:rsid w:val="0B975E5A"/>
    <w:rsid w:val="0BA852CC"/>
    <w:rsid w:val="0BF8493A"/>
    <w:rsid w:val="0C3A0BAF"/>
    <w:rsid w:val="0C9615C8"/>
    <w:rsid w:val="0C9D6C57"/>
    <w:rsid w:val="0CAA08C3"/>
    <w:rsid w:val="0D8D7411"/>
    <w:rsid w:val="0DA506E8"/>
    <w:rsid w:val="0DB16005"/>
    <w:rsid w:val="0DE77D4E"/>
    <w:rsid w:val="0E00232F"/>
    <w:rsid w:val="0E1C29BA"/>
    <w:rsid w:val="0F035C91"/>
    <w:rsid w:val="0F547D65"/>
    <w:rsid w:val="0F587009"/>
    <w:rsid w:val="0FA81A95"/>
    <w:rsid w:val="0FDA3EB2"/>
    <w:rsid w:val="10022AD1"/>
    <w:rsid w:val="1007147C"/>
    <w:rsid w:val="10182CB8"/>
    <w:rsid w:val="106F1015"/>
    <w:rsid w:val="10A3504E"/>
    <w:rsid w:val="10BE23E8"/>
    <w:rsid w:val="1114218A"/>
    <w:rsid w:val="1164103E"/>
    <w:rsid w:val="11B13D27"/>
    <w:rsid w:val="11C664AC"/>
    <w:rsid w:val="11F23E16"/>
    <w:rsid w:val="12BA07EE"/>
    <w:rsid w:val="12C34D54"/>
    <w:rsid w:val="12EC14AB"/>
    <w:rsid w:val="12ED1816"/>
    <w:rsid w:val="136947F3"/>
    <w:rsid w:val="137121DA"/>
    <w:rsid w:val="13920488"/>
    <w:rsid w:val="139D18FD"/>
    <w:rsid w:val="13DB410E"/>
    <w:rsid w:val="13FA1765"/>
    <w:rsid w:val="141C6857"/>
    <w:rsid w:val="144B255C"/>
    <w:rsid w:val="145654F2"/>
    <w:rsid w:val="146D2944"/>
    <w:rsid w:val="14A74DE0"/>
    <w:rsid w:val="14D72B7F"/>
    <w:rsid w:val="14F00363"/>
    <w:rsid w:val="15311781"/>
    <w:rsid w:val="154A2FFE"/>
    <w:rsid w:val="15BD7BC5"/>
    <w:rsid w:val="15E51E8C"/>
    <w:rsid w:val="163F7845"/>
    <w:rsid w:val="16853395"/>
    <w:rsid w:val="169970AA"/>
    <w:rsid w:val="16AC4627"/>
    <w:rsid w:val="174B0056"/>
    <w:rsid w:val="1768203B"/>
    <w:rsid w:val="17766CFB"/>
    <w:rsid w:val="177C06DE"/>
    <w:rsid w:val="178863C1"/>
    <w:rsid w:val="17965BBD"/>
    <w:rsid w:val="179802BC"/>
    <w:rsid w:val="179F337E"/>
    <w:rsid w:val="17F67AA0"/>
    <w:rsid w:val="183121A5"/>
    <w:rsid w:val="185F5081"/>
    <w:rsid w:val="189941A6"/>
    <w:rsid w:val="18C31965"/>
    <w:rsid w:val="18C93ACC"/>
    <w:rsid w:val="18E65265"/>
    <w:rsid w:val="19CC0292"/>
    <w:rsid w:val="19D151A5"/>
    <w:rsid w:val="19D96317"/>
    <w:rsid w:val="1A0026D4"/>
    <w:rsid w:val="1A5938C6"/>
    <w:rsid w:val="1AA92812"/>
    <w:rsid w:val="1AB81CC1"/>
    <w:rsid w:val="1AC54FCC"/>
    <w:rsid w:val="1AD954FB"/>
    <w:rsid w:val="1AE60822"/>
    <w:rsid w:val="1AEF121B"/>
    <w:rsid w:val="1B2A5ADF"/>
    <w:rsid w:val="1B411666"/>
    <w:rsid w:val="1BAF716C"/>
    <w:rsid w:val="1BC555EC"/>
    <w:rsid w:val="1BD74178"/>
    <w:rsid w:val="1C02661E"/>
    <w:rsid w:val="1C5E06FC"/>
    <w:rsid w:val="1C6567F7"/>
    <w:rsid w:val="1C834B42"/>
    <w:rsid w:val="1C850926"/>
    <w:rsid w:val="1D5A049B"/>
    <w:rsid w:val="1D774AFE"/>
    <w:rsid w:val="1DDA116C"/>
    <w:rsid w:val="1DDE179E"/>
    <w:rsid w:val="1E0D1F6D"/>
    <w:rsid w:val="1E400016"/>
    <w:rsid w:val="1E4611A9"/>
    <w:rsid w:val="1E7C0800"/>
    <w:rsid w:val="1ECF6C5A"/>
    <w:rsid w:val="1ED02FD5"/>
    <w:rsid w:val="1EE32CB2"/>
    <w:rsid w:val="1EEE6F6F"/>
    <w:rsid w:val="1F0028D1"/>
    <w:rsid w:val="1F5B798C"/>
    <w:rsid w:val="1F8A475D"/>
    <w:rsid w:val="1FB11B40"/>
    <w:rsid w:val="1FB8207E"/>
    <w:rsid w:val="205F49CA"/>
    <w:rsid w:val="20FA4C1B"/>
    <w:rsid w:val="2103170F"/>
    <w:rsid w:val="210D3A56"/>
    <w:rsid w:val="214E5381"/>
    <w:rsid w:val="215C06CC"/>
    <w:rsid w:val="21E46864"/>
    <w:rsid w:val="21EB7C3D"/>
    <w:rsid w:val="222F177B"/>
    <w:rsid w:val="227713D1"/>
    <w:rsid w:val="2305325B"/>
    <w:rsid w:val="231B49A3"/>
    <w:rsid w:val="232D2379"/>
    <w:rsid w:val="23376394"/>
    <w:rsid w:val="23811EAC"/>
    <w:rsid w:val="23EE6975"/>
    <w:rsid w:val="23F73FAA"/>
    <w:rsid w:val="242D4168"/>
    <w:rsid w:val="242E1C66"/>
    <w:rsid w:val="24BA2BCD"/>
    <w:rsid w:val="24CD0395"/>
    <w:rsid w:val="25300AF9"/>
    <w:rsid w:val="25495B65"/>
    <w:rsid w:val="2589231B"/>
    <w:rsid w:val="25CA4353"/>
    <w:rsid w:val="260979AB"/>
    <w:rsid w:val="260D6ABB"/>
    <w:rsid w:val="26812549"/>
    <w:rsid w:val="26AF13FE"/>
    <w:rsid w:val="26C36951"/>
    <w:rsid w:val="26D21F94"/>
    <w:rsid w:val="27033CDB"/>
    <w:rsid w:val="274A6DDF"/>
    <w:rsid w:val="276373A8"/>
    <w:rsid w:val="27743E5C"/>
    <w:rsid w:val="27A65245"/>
    <w:rsid w:val="27B50AD5"/>
    <w:rsid w:val="27CA7828"/>
    <w:rsid w:val="27CB3BE0"/>
    <w:rsid w:val="27E2170E"/>
    <w:rsid w:val="27F23180"/>
    <w:rsid w:val="280D2A4C"/>
    <w:rsid w:val="288307FB"/>
    <w:rsid w:val="288C5F8C"/>
    <w:rsid w:val="28A02C64"/>
    <w:rsid w:val="29114058"/>
    <w:rsid w:val="29440B9B"/>
    <w:rsid w:val="295201CD"/>
    <w:rsid w:val="29A624C5"/>
    <w:rsid w:val="29F86308"/>
    <w:rsid w:val="2A2637E0"/>
    <w:rsid w:val="2A2A3522"/>
    <w:rsid w:val="2AA94780"/>
    <w:rsid w:val="2AE620DB"/>
    <w:rsid w:val="2AF8208B"/>
    <w:rsid w:val="2AFB4C98"/>
    <w:rsid w:val="2B170037"/>
    <w:rsid w:val="2B6A36F7"/>
    <w:rsid w:val="2B6B4AFA"/>
    <w:rsid w:val="2BD91BFD"/>
    <w:rsid w:val="2BDC7622"/>
    <w:rsid w:val="2C8657E2"/>
    <w:rsid w:val="2CE031A0"/>
    <w:rsid w:val="2CE9381D"/>
    <w:rsid w:val="2D3A58FA"/>
    <w:rsid w:val="2D5C40BF"/>
    <w:rsid w:val="2D635548"/>
    <w:rsid w:val="2D877DBF"/>
    <w:rsid w:val="2DB36BE8"/>
    <w:rsid w:val="2DC37226"/>
    <w:rsid w:val="2DD250F4"/>
    <w:rsid w:val="2E047179"/>
    <w:rsid w:val="2E193AD2"/>
    <w:rsid w:val="2E42183D"/>
    <w:rsid w:val="2EA42D09"/>
    <w:rsid w:val="2F0B6139"/>
    <w:rsid w:val="2F6451E3"/>
    <w:rsid w:val="2F8A246F"/>
    <w:rsid w:val="2F994123"/>
    <w:rsid w:val="2FBA0846"/>
    <w:rsid w:val="301D386E"/>
    <w:rsid w:val="302D5397"/>
    <w:rsid w:val="30AC7921"/>
    <w:rsid w:val="30B874AF"/>
    <w:rsid w:val="30C627C2"/>
    <w:rsid w:val="31031468"/>
    <w:rsid w:val="31545476"/>
    <w:rsid w:val="3193041F"/>
    <w:rsid w:val="31C32BDC"/>
    <w:rsid w:val="31D31978"/>
    <w:rsid w:val="31F75966"/>
    <w:rsid w:val="322272A8"/>
    <w:rsid w:val="32244F1A"/>
    <w:rsid w:val="323B3EF4"/>
    <w:rsid w:val="32785715"/>
    <w:rsid w:val="328F5C99"/>
    <w:rsid w:val="32BF0A41"/>
    <w:rsid w:val="33023AA3"/>
    <w:rsid w:val="33384BD4"/>
    <w:rsid w:val="334640D0"/>
    <w:rsid w:val="335039CF"/>
    <w:rsid w:val="33BA52ED"/>
    <w:rsid w:val="33BC3AED"/>
    <w:rsid w:val="33C208C4"/>
    <w:rsid w:val="33C65786"/>
    <w:rsid w:val="33D470B9"/>
    <w:rsid w:val="33FF75B3"/>
    <w:rsid w:val="34163CF8"/>
    <w:rsid w:val="343D0846"/>
    <w:rsid w:val="344C1F2A"/>
    <w:rsid w:val="346C6C96"/>
    <w:rsid w:val="34A91292"/>
    <w:rsid w:val="34E03874"/>
    <w:rsid w:val="35057307"/>
    <w:rsid w:val="35321452"/>
    <w:rsid w:val="35383B61"/>
    <w:rsid w:val="354A032C"/>
    <w:rsid w:val="355F133F"/>
    <w:rsid w:val="35CE6093"/>
    <w:rsid w:val="36211653"/>
    <w:rsid w:val="36712272"/>
    <w:rsid w:val="369B31B3"/>
    <w:rsid w:val="36D76F36"/>
    <w:rsid w:val="36EB7100"/>
    <w:rsid w:val="36F6663C"/>
    <w:rsid w:val="36FF5F25"/>
    <w:rsid w:val="370073DA"/>
    <w:rsid w:val="376005B3"/>
    <w:rsid w:val="378B3228"/>
    <w:rsid w:val="3794349D"/>
    <w:rsid w:val="37D53B04"/>
    <w:rsid w:val="37D60FFF"/>
    <w:rsid w:val="37D94F51"/>
    <w:rsid w:val="37E0141F"/>
    <w:rsid w:val="38B213E2"/>
    <w:rsid w:val="38B643D3"/>
    <w:rsid w:val="390E3008"/>
    <w:rsid w:val="395F496C"/>
    <w:rsid w:val="397467B6"/>
    <w:rsid w:val="39812AE0"/>
    <w:rsid w:val="398714C3"/>
    <w:rsid w:val="399D7242"/>
    <w:rsid w:val="39D263A3"/>
    <w:rsid w:val="39D54C2E"/>
    <w:rsid w:val="3A465B2C"/>
    <w:rsid w:val="3AAC2066"/>
    <w:rsid w:val="3AD77E52"/>
    <w:rsid w:val="3AF556A9"/>
    <w:rsid w:val="3B776FE9"/>
    <w:rsid w:val="3B843DB8"/>
    <w:rsid w:val="3BDF3A3D"/>
    <w:rsid w:val="3BF157C6"/>
    <w:rsid w:val="3C161A6C"/>
    <w:rsid w:val="3C553E04"/>
    <w:rsid w:val="3C667129"/>
    <w:rsid w:val="3CE82108"/>
    <w:rsid w:val="3D172E5F"/>
    <w:rsid w:val="3D45168C"/>
    <w:rsid w:val="3D820C29"/>
    <w:rsid w:val="3D902E66"/>
    <w:rsid w:val="3D936012"/>
    <w:rsid w:val="3DA50145"/>
    <w:rsid w:val="3DEA5D72"/>
    <w:rsid w:val="3E4024ED"/>
    <w:rsid w:val="3E532BC7"/>
    <w:rsid w:val="3E5C2191"/>
    <w:rsid w:val="3E600292"/>
    <w:rsid w:val="3F29713C"/>
    <w:rsid w:val="3F975D57"/>
    <w:rsid w:val="3FDA2912"/>
    <w:rsid w:val="3FE12175"/>
    <w:rsid w:val="3FEB4692"/>
    <w:rsid w:val="40163942"/>
    <w:rsid w:val="409A4B12"/>
    <w:rsid w:val="40CC72C4"/>
    <w:rsid w:val="40DA6FCE"/>
    <w:rsid w:val="41541660"/>
    <w:rsid w:val="415E720B"/>
    <w:rsid w:val="415F34BD"/>
    <w:rsid w:val="416138AF"/>
    <w:rsid w:val="41753843"/>
    <w:rsid w:val="417E3DD2"/>
    <w:rsid w:val="419569C9"/>
    <w:rsid w:val="41C815EC"/>
    <w:rsid w:val="41D679EB"/>
    <w:rsid w:val="42027CF4"/>
    <w:rsid w:val="423843D7"/>
    <w:rsid w:val="424E7CE8"/>
    <w:rsid w:val="42764D77"/>
    <w:rsid w:val="42E82D06"/>
    <w:rsid w:val="43095949"/>
    <w:rsid w:val="43407CEE"/>
    <w:rsid w:val="436B0F90"/>
    <w:rsid w:val="4391268C"/>
    <w:rsid w:val="4393644B"/>
    <w:rsid w:val="43A902BC"/>
    <w:rsid w:val="441A46EB"/>
    <w:rsid w:val="445A2900"/>
    <w:rsid w:val="447407A4"/>
    <w:rsid w:val="44951673"/>
    <w:rsid w:val="449A58B0"/>
    <w:rsid w:val="450F42B8"/>
    <w:rsid w:val="451168A7"/>
    <w:rsid w:val="45B3610B"/>
    <w:rsid w:val="45EF52CA"/>
    <w:rsid w:val="461026D0"/>
    <w:rsid w:val="46753028"/>
    <w:rsid w:val="469553C1"/>
    <w:rsid w:val="46F22E0B"/>
    <w:rsid w:val="47B06CB1"/>
    <w:rsid w:val="47E041E9"/>
    <w:rsid w:val="4865746C"/>
    <w:rsid w:val="4867383D"/>
    <w:rsid w:val="48945BA2"/>
    <w:rsid w:val="48F42501"/>
    <w:rsid w:val="49144432"/>
    <w:rsid w:val="49383A63"/>
    <w:rsid w:val="493B4C0C"/>
    <w:rsid w:val="49697AFD"/>
    <w:rsid w:val="496B70FC"/>
    <w:rsid w:val="49996AE6"/>
    <w:rsid w:val="49C33FEA"/>
    <w:rsid w:val="49D214C3"/>
    <w:rsid w:val="4A3835D3"/>
    <w:rsid w:val="4A513E5D"/>
    <w:rsid w:val="4A8C2734"/>
    <w:rsid w:val="4A9B6B96"/>
    <w:rsid w:val="4AA77F21"/>
    <w:rsid w:val="4AB9555E"/>
    <w:rsid w:val="4AD35302"/>
    <w:rsid w:val="4AE7107E"/>
    <w:rsid w:val="4B027502"/>
    <w:rsid w:val="4B1970D9"/>
    <w:rsid w:val="4B727AF4"/>
    <w:rsid w:val="4C087946"/>
    <w:rsid w:val="4C166C63"/>
    <w:rsid w:val="4C366CAE"/>
    <w:rsid w:val="4C5A46C2"/>
    <w:rsid w:val="4C693982"/>
    <w:rsid w:val="4C6F65BF"/>
    <w:rsid w:val="4C9C644D"/>
    <w:rsid w:val="4CF776B9"/>
    <w:rsid w:val="4CFF04A3"/>
    <w:rsid w:val="4D3D1883"/>
    <w:rsid w:val="4D73058E"/>
    <w:rsid w:val="4D9B134D"/>
    <w:rsid w:val="4D9C2615"/>
    <w:rsid w:val="4DA60DCF"/>
    <w:rsid w:val="4DAD2D4E"/>
    <w:rsid w:val="4DB112F1"/>
    <w:rsid w:val="4DD75FF6"/>
    <w:rsid w:val="4DE84AD8"/>
    <w:rsid w:val="4E05338C"/>
    <w:rsid w:val="4E151C6F"/>
    <w:rsid w:val="4E1A42F8"/>
    <w:rsid w:val="4E716678"/>
    <w:rsid w:val="4EFF5C71"/>
    <w:rsid w:val="4F2E4EF1"/>
    <w:rsid w:val="4F4A3571"/>
    <w:rsid w:val="4FA17635"/>
    <w:rsid w:val="4FA6545B"/>
    <w:rsid w:val="4FBD50CA"/>
    <w:rsid w:val="4FF61903"/>
    <w:rsid w:val="50A62A48"/>
    <w:rsid w:val="50B74C36"/>
    <w:rsid w:val="50D20B85"/>
    <w:rsid w:val="516F3615"/>
    <w:rsid w:val="51EF0C99"/>
    <w:rsid w:val="521212CE"/>
    <w:rsid w:val="52511E2D"/>
    <w:rsid w:val="525A0E93"/>
    <w:rsid w:val="525A12E6"/>
    <w:rsid w:val="52623749"/>
    <w:rsid w:val="52977738"/>
    <w:rsid w:val="52B723AF"/>
    <w:rsid w:val="52DB6F0A"/>
    <w:rsid w:val="533F3EB4"/>
    <w:rsid w:val="53720BCF"/>
    <w:rsid w:val="53FE3A1D"/>
    <w:rsid w:val="5405342A"/>
    <w:rsid w:val="541939A4"/>
    <w:rsid w:val="54265A32"/>
    <w:rsid w:val="542B7539"/>
    <w:rsid w:val="54440EC2"/>
    <w:rsid w:val="548C30DF"/>
    <w:rsid w:val="549C486F"/>
    <w:rsid w:val="54B94FB7"/>
    <w:rsid w:val="54D8306E"/>
    <w:rsid w:val="5520132D"/>
    <w:rsid w:val="552B586C"/>
    <w:rsid w:val="553B71A8"/>
    <w:rsid w:val="55B90266"/>
    <w:rsid w:val="55C776C9"/>
    <w:rsid w:val="55EA6E94"/>
    <w:rsid w:val="56210039"/>
    <w:rsid w:val="56EA137D"/>
    <w:rsid w:val="57502EB1"/>
    <w:rsid w:val="57CC7219"/>
    <w:rsid w:val="58171515"/>
    <w:rsid w:val="58294CA0"/>
    <w:rsid w:val="583429A6"/>
    <w:rsid w:val="583C5D85"/>
    <w:rsid w:val="58F0556A"/>
    <w:rsid w:val="59462987"/>
    <w:rsid w:val="59DC04BA"/>
    <w:rsid w:val="59E15340"/>
    <w:rsid w:val="59EB0360"/>
    <w:rsid w:val="59F5443A"/>
    <w:rsid w:val="5A0C769B"/>
    <w:rsid w:val="5A1102FA"/>
    <w:rsid w:val="5AB54D12"/>
    <w:rsid w:val="5ADF1011"/>
    <w:rsid w:val="5B0073B9"/>
    <w:rsid w:val="5B09295B"/>
    <w:rsid w:val="5B523056"/>
    <w:rsid w:val="5BB219B0"/>
    <w:rsid w:val="5BBC2713"/>
    <w:rsid w:val="5BDE407F"/>
    <w:rsid w:val="5C2A2FFB"/>
    <w:rsid w:val="5C6C500A"/>
    <w:rsid w:val="5CA4452C"/>
    <w:rsid w:val="5CCB3BE4"/>
    <w:rsid w:val="5CDE3232"/>
    <w:rsid w:val="5D9870C6"/>
    <w:rsid w:val="5E090564"/>
    <w:rsid w:val="5E111E29"/>
    <w:rsid w:val="5E1912AD"/>
    <w:rsid w:val="5E1966F4"/>
    <w:rsid w:val="5E500047"/>
    <w:rsid w:val="5F036496"/>
    <w:rsid w:val="5F2F6BBC"/>
    <w:rsid w:val="5F4A18ED"/>
    <w:rsid w:val="5F544DE2"/>
    <w:rsid w:val="5F5C0E82"/>
    <w:rsid w:val="5FC90876"/>
    <w:rsid w:val="5FEF0749"/>
    <w:rsid w:val="606A21C4"/>
    <w:rsid w:val="60886659"/>
    <w:rsid w:val="60DB4F05"/>
    <w:rsid w:val="60E90083"/>
    <w:rsid w:val="60F84815"/>
    <w:rsid w:val="61AC071D"/>
    <w:rsid w:val="622F1A56"/>
    <w:rsid w:val="62D52794"/>
    <w:rsid w:val="63145D2C"/>
    <w:rsid w:val="638B5AA7"/>
    <w:rsid w:val="63C20815"/>
    <w:rsid w:val="63EC2331"/>
    <w:rsid w:val="640A1D5E"/>
    <w:rsid w:val="64364E0D"/>
    <w:rsid w:val="644609DC"/>
    <w:rsid w:val="64721DEE"/>
    <w:rsid w:val="64C87D1E"/>
    <w:rsid w:val="651358ED"/>
    <w:rsid w:val="652316A8"/>
    <w:rsid w:val="65592F08"/>
    <w:rsid w:val="65EF3C87"/>
    <w:rsid w:val="660B17CC"/>
    <w:rsid w:val="6683113B"/>
    <w:rsid w:val="66CF0A63"/>
    <w:rsid w:val="67024E37"/>
    <w:rsid w:val="670C1912"/>
    <w:rsid w:val="670F4A5C"/>
    <w:rsid w:val="674123B0"/>
    <w:rsid w:val="67751FC3"/>
    <w:rsid w:val="6789637F"/>
    <w:rsid w:val="67A27F96"/>
    <w:rsid w:val="67D13554"/>
    <w:rsid w:val="680229A8"/>
    <w:rsid w:val="68D90A15"/>
    <w:rsid w:val="69135352"/>
    <w:rsid w:val="691A632C"/>
    <w:rsid w:val="698403BA"/>
    <w:rsid w:val="69A90CCA"/>
    <w:rsid w:val="69C9674F"/>
    <w:rsid w:val="69CF66D0"/>
    <w:rsid w:val="6A197A9B"/>
    <w:rsid w:val="6A2D264E"/>
    <w:rsid w:val="6A385E52"/>
    <w:rsid w:val="6A67382B"/>
    <w:rsid w:val="6A8C5D79"/>
    <w:rsid w:val="6AAD3992"/>
    <w:rsid w:val="6AB60FCA"/>
    <w:rsid w:val="6B006DB2"/>
    <w:rsid w:val="6B0D6303"/>
    <w:rsid w:val="6B3D196F"/>
    <w:rsid w:val="6B652060"/>
    <w:rsid w:val="6B7F6169"/>
    <w:rsid w:val="6BA07E8D"/>
    <w:rsid w:val="6BAD5688"/>
    <w:rsid w:val="6BB06A31"/>
    <w:rsid w:val="6C4D6722"/>
    <w:rsid w:val="6C6126EE"/>
    <w:rsid w:val="6C6D1604"/>
    <w:rsid w:val="6C6F1490"/>
    <w:rsid w:val="6CB46BF5"/>
    <w:rsid w:val="6CD85CED"/>
    <w:rsid w:val="6D8109F6"/>
    <w:rsid w:val="6D863980"/>
    <w:rsid w:val="6DCF55B5"/>
    <w:rsid w:val="6DD02C64"/>
    <w:rsid w:val="6DD21220"/>
    <w:rsid w:val="6E2039C3"/>
    <w:rsid w:val="6E502DAA"/>
    <w:rsid w:val="6E590FCD"/>
    <w:rsid w:val="6E9F2B3A"/>
    <w:rsid w:val="6F1E5C10"/>
    <w:rsid w:val="6F90028A"/>
    <w:rsid w:val="6FCD1180"/>
    <w:rsid w:val="6FCF605E"/>
    <w:rsid w:val="705D70A7"/>
    <w:rsid w:val="705E44C7"/>
    <w:rsid w:val="70685F55"/>
    <w:rsid w:val="708D69AB"/>
    <w:rsid w:val="70A82FD9"/>
    <w:rsid w:val="70D30A38"/>
    <w:rsid w:val="70D50A94"/>
    <w:rsid w:val="71047568"/>
    <w:rsid w:val="717527C4"/>
    <w:rsid w:val="718316CC"/>
    <w:rsid w:val="71A65620"/>
    <w:rsid w:val="72325419"/>
    <w:rsid w:val="72721EBF"/>
    <w:rsid w:val="7306090A"/>
    <w:rsid w:val="738E206C"/>
    <w:rsid w:val="73A429A0"/>
    <w:rsid w:val="73AB6DEB"/>
    <w:rsid w:val="73D72E06"/>
    <w:rsid w:val="73F02585"/>
    <w:rsid w:val="744463F2"/>
    <w:rsid w:val="74C22F3E"/>
    <w:rsid w:val="754B7323"/>
    <w:rsid w:val="758519AE"/>
    <w:rsid w:val="75D42EFF"/>
    <w:rsid w:val="768A4866"/>
    <w:rsid w:val="76BB2B5B"/>
    <w:rsid w:val="76D86017"/>
    <w:rsid w:val="77A66FC5"/>
    <w:rsid w:val="77A967D7"/>
    <w:rsid w:val="77CA4D7D"/>
    <w:rsid w:val="77CE278C"/>
    <w:rsid w:val="77F8781F"/>
    <w:rsid w:val="78212811"/>
    <w:rsid w:val="782475A9"/>
    <w:rsid w:val="78356651"/>
    <w:rsid w:val="78475B91"/>
    <w:rsid w:val="787E1A12"/>
    <w:rsid w:val="788F5AA6"/>
    <w:rsid w:val="78BE7292"/>
    <w:rsid w:val="78DC5050"/>
    <w:rsid w:val="79680B12"/>
    <w:rsid w:val="799C5C29"/>
    <w:rsid w:val="79ED15F2"/>
    <w:rsid w:val="7A46644C"/>
    <w:rsid w:val="7A47135B"/>
    <w:rsid w:val="7A8D23E0"/>
    <w:rsid w:val="7AF366E7"/>
    <w:rsid w:val="7B1E5E8B"/>
    <w:rsid w:val="7B31457E"/>
    <w:rsid w:val="7B6E5837"/>
    <w:rsid w:val="7BD91F94"/>
    <w:rsid w:val="7BFE0E21"/>
    <w:rsid w:val="7C660CC9"/>
    <w:rsid w:val="7CA00D1B"/>
    <w:rsid w:val="7CBC0D5A"/>
    <w:rsid w:val="7CF41962"/>
    <w:rsid w:val="7CFB7B64"/>
    <w:rsid w:val="7D084B70"/>
    <w:rsid w:val="7D377BC1"/>
    <w:rsid w:val="7D927CB2"/>
    <w:rsid w:val="7D9E05A2"/>
    <w:rsid w:val="7DB12889"/>
    <w:rsid w:val="7DE95037"/>
    <w:rsid w:val="7E272F9E"/>
    <w:rsid w:val="7E471C72"/>
    <w:rsid w:val="7E4A455F"/>
    <w:rsid w:val="7E9D7A95"/>
    <w:rsid w:val="7E9E696A"/>
    <w:rsid w:val="7EB80210"/>
    <w:rsid w:val="7EBE700C"/>
    <w:rsid w:val="7F0F7867"/>
    <w:rsid w:val="7F285F22"/>
    <w:rsid w:val="7F30456F"/>
    <w:rsid w:val="7F4B5416"/>
    <w:rsid w:val="7FA5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adjustRightInd w:val="0"/>
      <w:snapToGrid w:val="0"/>
      <w:spacing w:beforeLines="100" w:afterLines="100" w:line="440" w:lineRule="exact"/>
      <w:jc w:val="center"/>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widowControl/>
      <w:spacing w:before="25" w:after="25"/>
      <w:jc w:val="left"/>
    </w:pPr>
    <w:rPr>
      <w:rFonts w:ascii="Times" w:hAnsi="Times"/>
      <w:bCs/>
      <w:spacing w:val="10"/>
      <w:kern w:val="0"/>
      <w:sz w:val="24"/>
      <w:szCs w:val="20"/>
    </w:rPr>
  </w:style>
  <w:style w:type="paragraph" w:styleId="3">
    <w:name w:val="Body Text"/>
    <w:basedOn w:val="1"/>
    <w:qFormat/>
    <w:uiPriority w:val="0"/>
    <w:pPr>
      <w:spacing w:after="120"/>
    </w:pPr>
    <w:rPr>
      <w:rFonts w:ascii="Times New Roman" w:hAnsi="Times New Roman"/>
      <w:sz w:val="28"/>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tabs>
        <w:tab w:val="right" w:leader="dot" w:pos="9060"/>
      </w:tabs>
      <w:spacing w:line="360" w:lineRule="auto"/>
      <w:jc w:val="center"/>
    </w:pPr>
    <w:rPr>
      <w:sz w:val="32"/>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qFormat/>
    <w:uiPriority w:val="0"/>
    <w:rPr>
      <w:sz w:val="21"/>
      <w:szCs w:val="21"/>
    </w:rPr>
  </w:style>
  <w:style w:type="paragraph" w:customStyle="1" w:styleId="16">
    <w:name w:val="列出段落1"/>
    <w:basedOn w:val="1"/>
    <w:qFormat/>
    <w:uiPriority w:val="34"/>
    <w:pPr>
      <w:ind w:firstLine="420" w:firstLineChars="200"/>
    </w:pPr>
  </w:style>
  <w:style w:type="paragraph" w:customStyle="1" w:styleId="17">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880</Words>
  <Characters>1003</Characters>
  <Lines>0</Lines>
  <Paragraphs>0</Paragraphs>
  <TotalTime>410</TotalTime>
  <ScaleCrop>false</ScaleCrop>
  <LinksUpToDate>false</LinksUpToDate>
  <CharactersWithSpaces>1163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yuanhj</dc:creator>
  <cp:lastModifiedBy>jiangjiyou</cp:lastModifiedBy>
  <dcterms:modified xsi:type="dcterms:W3CDTF">2024-08-12T06:17:34Z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B40883D22AD547748ED0245B2FAC701E</vt:lpwstr>
  </property>
</Properties>
</file>