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470C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0EF08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 w14:paraId="1BE9D683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380"/>
        <w:gridCol w:w="1845"/>
        <w:gridCol w:w="1329"/>
        <w:gridCol w:w="2083"/>
        <w:gridCol w:w="1244"/>
        <w:gridCol w:w="1533"/>
        <w:gridCol w:w="1035"/>
        <w:gridCol w:w="1290"/>
        <w:gridCol w:w="1566"/>
        <w:gridCol w:w="1190"/>
      </w:tblGrid>
      <w:tr w14:paraId="005D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 w14:paraId="281A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 w14:paraId="46E7BE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75E1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3098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 w14:paraId="5540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7087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 w14:paraId="7B2F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 w14:paraId="4D40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5EB7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7632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福建/厦门三甲医院已开展医院名称</w:t>
            </w:r>
          </w:p>
        </w:tc>
      </w:tr>
      <w:tr w14:paraId="06E3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C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01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肌张力障碍相关基因测序检测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E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F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FB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3D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克灭鼠（老鼠药检测)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6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59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D8E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遗传性肝病相关基因测序检测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E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D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E5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CB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新型隐球菌英膜多糖抗原定量检测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E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1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441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凝血因子检查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C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E3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26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病原微生物基因鉴定（NGS）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D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C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F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抑制素B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D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3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3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3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12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蛋白C（PC）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0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6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0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蛋白S（PS）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2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C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1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E7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遗传性耳聋相关基因检测</w:t>
            </w:r>
            <w:bookmarkStart w:id="0" w:name="_GoBack"/>
            <w:bookmarkEnd w:id="0"/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9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0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165E175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若院方要求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对接系统产生的费用（约5万元）由供应商承担。</w:t>
            </w:r>
          </w:p>
          <w:p w14:paraId="0850194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若检测项目无福建省物价收费标准，若院方要求供应商将其项目签约上线弘爱商城，则每次检查供应商需额外支付患者收费金额的5%作为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平台管理费。</w:t>
            </w:r>
          </w:p>
          <w:p w14:paraId="2D737B9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3122D7D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0C942413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F450EE4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2B9F969A"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 w14:paraId="01109669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2026年   月   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143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7D42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7D42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39A00FF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D5A049B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B3F006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EFBCAC1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F366E7"/>
    <w:rsid w:val="7B00387C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784B9F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  <w:rsid w:val="F7B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338</Characters>
  <Lines>0</Lines>
  <Paragraphs>0</Paragraphs>
  <TotalTime>4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yuanhj</dc:creator>
  <cp:lastModifiedBy>蒋际友</cp:lastModifiedBy>
  <dcterms:modified xsi:type="dcterms:W3CDTF">2026-07-22T01:08:32Z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DCA4FFEAA0E0127F4CD8D96858AD5457_43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